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BEA4E" w14:textId="41E56031" w:rsidR="00123A1C" w:rsidRDefault="00123A1C" w:rsidP="003F01CE">
      <w:pPr>
        <w:pStyle w:val="NoSpacing"/>
        <w:rPr>
          <w:rFonts w:ascii="Montserrat" w:hAnsi="Montserrat"/>
          <w:b/>
          <w:sz w:val="22"/>
          <w:szCs w:val="22"/>
        </w:rPr>
      </w:pPr>
    </w:p>
    <w:p w14:paraId="4C627AA7" w14:textId="77777777" w:rsidR="004D56CC" w:rsidRPr="00402FE8" w:rsidRDefault="004D56CC" w:rsidP="004D56CC">
      <w:pPr>
        <w:pStyle w:val="NoSpacing"/>
        <w:jc w:val="center"/>
        <w:rPr>
          <w:rFonts w:ascii="Montserrat" w:hAnsi="Montserrat"/>
          <w:b/>
          <w:color w:val="00B0F0"/>
        </w:rPr>
      </w:pPr>
      <w:r w:rsidRPr="00402FE8">
        <w:rPr>
          <w:rFonts w:ascii="Montserrat" w:hAnsi="Montserrat"/>
          <w:b/>
          <w:color w:val="00B0F0"/>
        </w:rPr>
        <w:t>TERMS OF REFERENCES</w:t>
      </w:r>
    </w:p>
    <w:p w14:paraId="17A817A3" w14:textId="5A24DEB7" w:rsidR="004D56CC" w:rsidRPr="00402FE8" w:rsidRDefault="004D56CC" w:rsidP="004D56CC">
      <w:pPr>
        <w:pStyle w:val="NoSpacing"/>
        <w:jc w:val="center"/>
        <w:rPr>
          <w:rFonts w:ascii="Montserrat" w:hAnsi="Montserrat"/>
          <w:b/>
          <w:color w:val="00B0F0"/>
        </w:rPr>
      </w:pPr>
      <w:r w:rsidRPr="00402FE8">
        <w:rPr>
          <w:rFonts w:ascii="Montserrat" w:hAnsi="Montserrat"/>
          <w:b/>
          <w:color w:val="00B0F0"/>
        </w:rPr>
        <w:t xml:space="preserve">DEVELOPMENT OF A POLICY BRIEF ON </w:t>
      </w:r>
      <w:r w:rsidR="00402FE8" w:rsidRPr="00402FE8">
        <w:rPr>
          <w:rFonts w:ascii="Montserrat" w:hAnsi="Montserrat"/>
          <w:b/>
          <w:color w:val="00B0F0"/>
        </w:rPr>
        <w:t xml:space="preserve">EFFECTIVENESS OF RE ENTRY </w:t>
      </w:r>
      <w:r w:rsidR="00402FE8">
        <w:rPr>
          <w:rFonts w:ascii="Montserrat" w:hAnsi="Montserrat"/>
          <w:b/>
          <w:color w:val="00B0F0"/>
        </w:rPr>
        <w:t xml:space="preserve">GUIDELINES </w:t>
      </w:r>
      <w:r w:rsidR="00402FE8" w:rsidRPr="00402FE8">
        <w:rPr>
          <w:rFonts w:ascii="Montserrat" w:hAnsi="Montserrat"/>
          <w:b/>
          <w:color w:val="00B0F0"/>
        </w:rPr>
        <w:t xml:space="preserve">IN ENSURING </w:t>
      </w:r>
      <w:r w:rsidR="00402FE8">
        <w:rPr>
          <w:rFonts w:ascii="Montserrat" w:hAnsi="Montserrat"/>
          <w:b/>
          <w:color w:val="00B0F0"/>
        </w:rPr>
        <w:t>ACCESS</w:t>
      </w:r>
      <w:r w:rsidR="004668B2">
        <w:rPr>
          <w:rFonts w:ascii="Montserrat" w:hAnsi="Montserrat"/>
          <w:b/>
          <w:color w:val="00B0F0"/>
        </w:rPr>
        <w:t xml:space="preserve"> </w:t>
      </w:r>
      <w:r w:rsidR="00402FE8">
        <w:rPr>
          <w:rFonts w:ascii="Montserrat" w:hAnsi="Montserrat"/>
          <w:b/>
          <w:color w:val="00B0F0"/>
        </w:rPr>
        <w:t>TO EDUCATION FOR ADOLECENTS.</w:t>
      </w:r>
    </w:p>
    <w:tbl>
      <w:tblPr>
        <w:tblStyle w:val="TableGrid"/>
        <w:tblW w:w="0" w:type="auto"/>
        <w:tblLook w:val="04A0" w:firstRow="1" w:lastRow="0" w:firstColumn="1" w:lastColumn="0" w:noHBand="0" w:noVBand="1"/>
      </w:tblPr>
      <w:tblGrid>
        <w:gridCol w:w="2245"/>
        <w:gridCol w:w="7134"/>
      </w:tblGrid>
      <w:tr w:rsidR="004D56CC" w:rsidRPr="004D56CC" w14:paraId="68C943DE" w14:textId="77777777" w:rsidTr="004D56CC">
        <w:tc>
          <w:tcPr>
            <w:tcW w:w="2245" w:type="dxa"/>
          </w:tcPr>
          <w:p w14:paraId="0E354827" w14:textId="108F23D7" w:rsidR="004D56CC" w:rsidRPr="004D56CC" w:rsidRDefault="004D56CC" w:rsidP="004D56CC">
            <w:pPr>
              <w:pStyle w:val="NoSpacing"/>
              <w:rPr>
                <w:rFonts w:ascii="Montserrat" w:hAnsi="Montserrat"/>
                <w:b/>
                <w:color w:val="00B0F0"/>
                <w:sz w:val="20"/>
                <w:szCs w:val="20"/>
              </w:rPr>
            </w:pPr>
            <w:r w:rsidRPr="004D56CC">
              <w:rPr>
                <w:rFonts w:ascii="Montserrat" w:hAnsi="Montserrat"/>
                <w:b/>
                <w:color w:val="00B0F0"/>
                <w:sz w:val="20"/>
                <w:szCs w:val="20"/>
              </w:rPr>
              <w:t>Objective of the Terms of Reference and Key Task</w:t>
            </w:r>
          </w:p>
        </w:tc>
        <w:tc>
          <w:tcPr>
            <w:tcW w:w="7134" w:type="dxa"/>
          </w:tcPr>
          <w:p w14:paraId="2D1DBC30" w14:textId="697B5A51" w:rsidR="004D56CC" w:rsidRPr="004D56CC" w:rsidRDefault="004D56CC" w:rsidP="004D56CC">
            <w:pPr>
              <w:pStyle w:val="NoSpacing"/>
              <w:jc w:val="both"/>
              <w:rPr>
                <w:rFonts w:ascii="Montserrat" w:hAnsi="Montserrat"/>
                <w:color w:val="00B0F0"/>
                <w:sz w:val="20"/>
                <w:szCs w:val="20"/>
              </w:rPr>
            </w:pPr>
            <w:r w:rsidRPr="004D56CC">
              <w:rPr>
                <w:rFonts w:ascii="Montserrat" w:hAnsi="Montserrat"/>
                <w:sz w:val="20"/>
                <w:szCs w:val="20"/>
              </w:rPr>
              <w:t xml:space="preserve">Recruitment of Interested and Qualified Consultant to develop a Policy Brief on </w:t>
            </w:r>
            <w:r w:rsidR="00402FE8">
              <w:rPr>
                <w:rFonts w:ascii="Montserrat" w:hAnsi="Montserrat"/>
                <w:sz w:val="20"/>
                <w:szCs w:val="20"/>
              </w:rPr>
              <w:t>Effectiveness of reentry guidelines in ensuring access to education for adolescent girls.</w:t>
            </w:r>
          </w:p>
        </w:tc>
      </w:tr>
      <w:tr w:rsidR="004D56CC" w:rsidRPr="004D56CC" w14:paraId="1B9B4379" w14:textId="77777777" w:rsidTr="004D56CC">
        <w:tc>
          <w:tcPr>
            <w:tcW w:w="2245" w:type="dxa"/>
          </w:tcPr>
          <w:p w14:paraId="0C3D91F7" w14:textId="2B9E0434" w:rsidR="004D56CC" w:rsidRPr="004D56CC" w:rsidRDefault="004D56CC" w:rsidP="004D56CC">
            <w:pPr>
              <w:pStyle w:val="NoSpacing"/>
              <w:rPr>
                <w:rFonts w:ascii="Montserrat" w:hAnsi="Montserrat"/>
                <w:b/>
                <w:color w:val="00B0F0"/>
                <w:sz w:val="20"/>
                <w:szCs w:val="20"/>
              </w:rPr>
            </w:pPr>
            <w:r w:rsidRPr="004D56CC">
              <w:rPr>
                <w:rFonts w:ascii="Montserrat" w:hAnsi="Montserrat"/>
                <w:b/>
                <w:color w:val="00B0F0"/>
                <w:sz w:val="20"/>
                <w:szCs w:val="20"/>
              </w:rPr>
              <w:t>Background and Rationale of the Assignment</w:t>
            </w:r>
          </w:p>
        </w:tc>
        <w:tc>
          <w:tcPr>
            <w:tcW w:w="7134" w:type="dxa"/>
          </w:tcPr>
          <w:p w14:paraId="62894AF5" w14:textId="77777777" w:rsidR="004D56CC" w:rsidRPr="004D56CC" w:rsidRDefault="004D56CC" w:rsidP="004D56CC">
            <w:pPr>
              <w:pStyle w:val="NoSpacing"/>
              <w:jc w:val="both"/>
              <w:rPr>
                <w:rFonts w:ascii="Montserrat" w:hAnsi="Montserrat"/>
                <w:sz w:val="20"/>
                <w:szCs w:val="20"/>
              </w:rPr>
            </w:pPr>
            <w:r w:rsidRPr="004D56CC">
              <w:rPr>
                <w:rFonts w:ascii="Montserrat" w:hAnsi="Montserrat"/>
                <w:sz w:val="20"/>
                <w:szCs w:val="20"/>
              </w:rPr>
              <w:t>The Legal and Human Rights Centre (LHRC) is a Tanzanian, Non-Governmental Organization that is Private, Voluntary, Non-Partisan, and not-for-profit sharing organization. It is registered under the NGO Act 2002 as amended and has been in operation since September 1995.</w:t>
            </w:r>
          </w:p>
          <w:p w14:paraId="480D8593" w14:textId="77777777" w:rsidR="004D56CC" w:rsidRPr="004D56CC" w:rsidRDefault="004D56CC" w:rsidP="004D56CC">
            <w:pPr>
              <w:pStyle w:val="NoSpacing"/>
              <w:jc w:val="both"/>
              <w:rPr>
                <w:rFonts w:ascii="Montserrat" w:hAnsi="Montserrat"/>
                <w:sz w:val="20"/>
                <w:szCs w:val="20"/>
              </w:rPr>
            </w:pPr>
          </w:p>
          <w:p w14:paraId="49CA39CF" w14:textId="116A7D6E" w:rsidR="004D56CC" w:rsidRPr="004D56CC" w:rsidRDefault="004D56CC" w:rsidP="004D56CC">
            <w:pPr>
              <w:pStyle w:val="NoSpacing"/>
              <w:jc w:val="both"/>
              <w:rPr>
                <w:rFonts w:ascii="Montserrat" w:hAnsi="Montserrat"/>
                <w:sz w:val="20"/>
                <w:szCs w:val="20"/>
              </w:rPr>
            </w:pPr>
            <w:r w:rsidRPr="004D56CC">
              <w:rPr>
                <w:rFonts w:ascii="Montserrat" w:hAnsi="Montserrat"/>
                <w:sz w:val="20"/>
                <w:szCs w:val="20"/>
              </w:rPr>
              <w:t xml:space="preserve">To learn more about LHRC, please visit our website:  </w:t>
            </w:r>
            <w:hyperlink r:id="rId7" w:history="1">
              <w:r w:rsidRPr="004D56CC">
                <w:rPr>
                  <w:rStyle w:val="Hyperlink"/>
                  <w:rFonts w:ascii="Montserrat" w:hAnsi="Montserrat"/>
                  <w:sz w:val="20"/>
                  <w:szCs w:val="20"/>
                </w:rPr>
                <w:t>www.humanrights.or.tz</w:t>
              </w:r>
            </w:hyperlink>
            <w:r w:rsidRPr="004D56CC">
              <w:rPr>
                <w:rFonts w:ascii="Montserrat" w:hAnsi="Montserrat"/>
                <w:sz w:val="20"/>
                <w:szCs w:val="20"/>
              </w:rPr>
              <w:t xml:space="preserve">  </w:t>
            </w:r>
          </w:p>
          <w:p w14:paraId="6E189922" w14:textId="77777777" w:rsidR="004D56CC" w:rsidRPr="004D56CC" w:rsidRDefault="004D56CC" w:rsidP="004D56CC">
            <w:pPr>
              <w:pStyle w:val="NoSpacing"/>
              <w:jc w:val="both"/>
              <w:rPr>
                <w:rFonts w:ascii="Montserrat" w:hAnsi="Montserrat"/>
                <w:sz w:val="20"/>
                <w:szCs w:val="20"/>
              </w:rPr>
            </w:pPr>
          </w:p>
          <w:p w14:paraId="40B78C83" w14:textId="77777777" w:rsidR="004D56CC" w:rsidRPr="004D56CC" w:rsidRDefault="004D56CC" w:rsidP="004D56CC">
            <w:pPr>
              <w:pStyle w:val="NoSpacing"/>
              <w:jc w:val="both"/>
              <w:rPr>
                <w:rFonts w:ascii="Montserrat" w:hAnsi="Montserrat"/>
                <w:sz w:val="20"/>
                <w:szCs w:val="20"/>
              </w:rPr>
            </w:pPr>
            <w:r w:rsidRPr="004D56CC">
              <w:rPr>
                <w:rFonts w:ascii="Montserrat" w:hAnsi="Montserrat"/>
                <w:sz w:val="20"/>
                <w:szCs w:val="20"/>
              </w:rPr>
              <w:t>In June 2019, LHRC and CRR submitted a communication to the African Committee of Experts on the Rights and Welfare of the Child under Article 44 of the African Charter on the Rights and Welfare of the Child. The communication was filed on behalf of Tanzanian girls against the United Republic of Tanzania, seeking to defend their right to education as outlined in the Charter.</w:t>
            </w:r>
          </w:p>
          <w:p w14:paraId="5C964B70" w14:textId="77777777" w:rsidR="004D56CC" w:rsidRPr="004D56CC" w:rsidRDefault="004D56CC" w:rsidP="004D56CC">
            <w:pPr>
              <w:pStyle w:val="NoSpacing"/>
              <w:jc w:val="both"/>
              <w:rPr>
                <w:rFonts w:ascii="Montserrat" w:hAnsi="Montserrat"/>
                <w:sz w:val="20"/>
                <w:szCs w:val="20"/>
              </w:rPr>
            </w:pPr>
          </w:p>
          <w:p w14:paraId="0CD8FD54" w14:textId="77777777" w:rsidR="004D56CC" w:rsidRPr="004D56CC" w:rsidRDefault="004D56CC" w:rsidP="004D56CC">
            <w:pPr>
              <w:pStyle w:val="NoSpacing"/>
              <w:jc w:val="both"/>
              <w:rPr>
                <w:rFonts w:ascii="Montserrat" w:hAnsi="Montserrat"/>
                <w:sz w:val="20"/>
                <w:szCs w:val="20"/>
              </w:rPr>
            </w:pPr>
            <w:r w:rsidRPr="004D56CC">
              <w:rPr>
                <w:rFonts w:ascii="Montserrat" w:hAnsi="Montserrat"/>
                <w:sz w:val="20"/>
                <w:szCs w:val="20"/>
              </w:rPr>
              <w:t>The case raised critical issues, including the right to education, equality, and non-discrimination; protection from harmful social practices and stereotypes; the principle of the best interests of the child; the right to health, including access to sexual and reproductive health services; the right to privacy and dignity; and freedom from cruel, inhuman, and degrading treatment.</w:t>
            </w:r>
          </w:p>
          <w:p w14:paraId="7B7B39BB" w14:textId="77777777" w:rsidR="004D56CC" w:rsidRPr="004D56CC" w:rsidRDefault="004D56CC" w:rsidP="004D56CC">
            <w:pPr>
              <w:pStyle w:val="NoSpacing"/>
              <w:jc w:val="both"/>
              <w:rPr>
                <w:rFonts w:ascii="Montserrat" w:hAnsi="Montserrat"/>
                <w:sz w:val="20"/>
                <w:szCs w:val="20"/>
              </w:rPr>
            </w:pPr>
          </w:p>
          <w:p w14:paraId="75A4D916" w14:textId="79F1F85B" w:rsidR="004D56CC" w:rsidRPr="004D56CC" w:rsidRDefault="004D56CC" w:rsidP="004D56CC">
            <w:pPr>
              <w:pStyle w:val="NoSpacing"/>
              <w:jc w:val="both"/>
              <w:rPr>
                <w:rFonts w:ascii="Montserrat" w:hAnsi="Montserrat"/>
                <w:sz w:val="20"/>
                <w:szCs w:val="20"/>
              </w:rPr>
            </w:pPr>
            <w:r w:rsidRPr="004D56CC">
              <w:rPr>
                <w:rFonts w:ascii="Montserrat" w:hAnsi="Montserrat"/>
                <w:sz w:val="20"/>
                <w:szCs w:val="20"/>
              </w:rPr>
              <w:t xml:space="preserve">In its 39th Ordinary Session, the Committee issued a decision finding Tanzania in violation of multiple provisions of the African Charter on the Rights and Welfare of the Child. </w:t>
            </w:r>
            <w:r w:rsidR="004668B2">
              <w:rPr>
                <w:rFonts w:ascii="Montserrat" w:hAnsi="Montserrat"/>
                <w:sz w:val="20"/>
                <w:szCs w:val="20"/>
              </w:rPr>
              <w:t xml:space="preserve"> </w:t>
            </w:r>
            <w:r w:rsidRPr="004D56CC">
              <w:rPr>
                <w:rFonts w:ascii="Montserrat" w:hAnsi="Montserrat"/>
                <w:sz w:val="20"/>
                <w:szCs w:val="20"/>
              </w:rPr>
              <w:t>After the delivery of the decision by the Committee, LHRC and CRR embarked on a journey to ensure its implementation and protect girls' rights. Since then, LHRC and CRR have supported the URT in implementing the decision, including conducting various meetings with relevant ministries to develop a roadmap and action plan for execution.</w:t>
            </w:r>
          </w:p>
          <w:p w14:paraId="502912F5" w14:textId="77777777" w:rsidR="004D56CC" w:rsidRPr="004D56CC" w:rsidRDefault="004D56CC" w:rsidP="004D56CC">
            <w:pPr>
              <w:pStyle w:val="NoSpacing"/>
              <w:jc w:val="both"/>
              <w:rPr>
                <w:rFonts w:ascii="Montserrat" w:hAnsi="Montserrat"/>
                <w:sz w:val="20"/>
                <w:szCs w:val="20"/>
              </w:rPr>
            </w:pPr>
          </w:p>
          <w:p w14:paraId="52C9257B" w14:textId="7D6BE623" w:rsidR="004D56CC" w:rsidRPr="004D56CC" w:rsidRDefault="004D56CC" w:rsidP="004D56CC">
            <w:pPr>
              <w:pStyle w:val="NoSpacing"/>
              <w:jc w:val="both"/>
              <w:rPr>
                <w:rFonts w:ascii="Montserrat" w:hAnsi="Montserrat"/>
                <w:sz w:val="20"/>
                <w:szCs w:val="20"/>
              </w:rPr>
            </w:pPr>
            <w:r w:rsidRPr="004D56CC">
              <w:rPr>
                <w:rFonts w:ascii="Montserrat" w:hAnsi="Montserrat"/>
                <w:sz w:val="20"/>
                <w:szCs w:val="20"/>
              </w:rPr>
              <w:t xml:space="preserve">In 2024, during its 44th session, the Committee invited the URT, CRR, and LHRC for an implementation hearing. The hearing highlighted progress on a few recommendations related to the right to education. However, most recommendations </w:t>
            </w:r>
            <w:r w:rsidR="004668B2">
              <w:rPr>
                <w:rFonts w:ascii="Montserrat" w:hAnsi="Montserrat"/>
                <w:sz w:val="20"/>
                <w:szCs w:val="20"/>
              </w:rPr>
              <w:t>remained unimplemented and most of the update had based on the reentry guideline that is in operation.</w:t>
            </w:r>
          </w:p>
          <w:p w14:paraId="1034DCD7" w14:textId="535487B9" w:rsidR="00402FE8" w:rsidRDefault="00402FE8" w:rsidP="004D56CC">
            <w:pPr>
              <w:pStyle w:val="NoSpacing"/>
              <w:jc w:val="both"/>
              <w:rPr>
                <w:rFonts w:ascii="Montserrat" w:hAnsi="Montserrat"/>
                <w:sz w:val="20"/>
                <w:szCs w:val="20"/>
              </w:rPr>
            </w:pPr>
          </w:p>
          <w:p w14:paraId="54879770" w14:textId="44CF2756" w:rsidR="004D56CC" w:rsidRPr="004D56CC" w:rsidRDefault="004D56CC" w:rsidP="004D56CC">
            <w:pPr>
              <w:pStyle w:val="NoSpacing"/>
              <w:jc w:val="both"/>
              <w:rPr>
                <w:rFonts w:ascii="Montserrat" w:hAnsi="Montserrat"/>
                <w:sz w:val="20"/>
                <w:szCs w:val="20"/>
              </w:rPr>
            </w:pPr>
            <w:r w:rsidRPr="004D56CC">
              <w:rPr>
                <w:rFonts w:ascii="Montserrat" w:hAnsi="Montserrat"/>
                <w:sz w:val="20"/>
                <w:szCs w:val="20"/>
              </w:rPr>
              <w:t xml:space="preserve">It is upon this background that LHRC is planning to develop a policy brief as an advocacy tool to push for the implementation of specific </w:t>
            </w:r>
            <w:r w:rsidR="00DC438C">
              <w:rPr>
                <w:rFonts w:ascii="Montserrat" w:hAnsi="Montserrat"/>
                <w:sz w:val="20"/>
                <w:szCs w:val="20"/>
              </w:rPr>
              <w:t>reentry</w:t>
            </w:r>
            <w:r w:rsidR="004668B2">
              <w:rPr>
                <w:rFonts w:ascii="Montserrat" w:hAnsi="Montserrat"/>
                <w:sz w:val="20"/>
                <w:szCs w:val="20"/>
              </w:rPr>
              <w:t xml:space="preserve"> recommendations and the effectiveness of the reentry guideline. T</w:t>
            </w:r>
            <w:r w:rsidRPr="004D56CC">
              <w:rPr>
                <w:rFonts w:ascii="Montserrat" w:hAnsi="Montserrat"/>
                <w:sz w:val="20"/>
                <w:szCs w:val="20"/>
              </w:rPr>
              <w:t xml:space="preserve">he product will help in generating evidence, data and lessons for   knowledge sharing and will inform plans where challenges are evident. </w:t>
            </w:r>
          </w:p>
          <w:p w14:paraId="70C98BAF" w14:textId="77777777" w:rsidR="004D56CC" w:rsidRPr="004D56CC" w:rsidRDefault="004D56CC" w:rsidP="004D56CC">
            <w:pPr>
              <w:pStyle w:val="NoSpacing"/>
              <w:jc w:val="both"/>
              <w:rPr>
                <w:rFonts w:ascii="Montserrat" w:hAnsi="Montserrat"/>
                <w:sz w:val="20"/>
                <w:szCs w:val="20"/>
              </w:rPr>
            </w:pPr>
          </w:p>
          <w:p w14:paraId="31155CF0" w14:textId="7738A759" w:rsidR="004D56CC" w:rsidRPr="004D56CC" w:rsidRDefault="004D56CC" w:rsidP="00DC438C">
            <w:pPr>
              <w:pStyle w:val="NoSpacing"/>
              <w:jc w:val="both"/>
              <w:rPr>
                <w:rFonts w:ascii="Montserrat" w:hAnsi="Montserrat"/>
                <w:sz w:val="20"/>
                <w:szCs w:val="20"/>
              </w:rPr>
            </w:pPr>
            <w:r w:rsidRPr="004D56CC">
              <w:rPr>
                <w:rFonts w:ascii="Montserrat" w:hAnsi="Montserrat"/>
                <w:sz w:val="20"/>
                <w:szCs w:val="20"/>
              </w:rPr>
              <w:t xml:space="preserve">Moreover, the policy brief is intended to primarily inform LHRC and partners to contribute to the collective advocacy to garner increased accountability and resource commitments in </w:t>
            </w:r>
            <w:r w:rsidR="00DC438C">
              <w:rPr>
                <w:rFonts w:ascii="Montserrat" w:hAnsi="Montserrat"/>
                <w:sz w:val="20"/>
                <w:szCs w:val="20"/>
              </w:rPr>
              <w:t>ensuring fully access to education for girls</w:t>
            </w:r>
            <w:r w:rsidRPr="004D56CC">
              <w:rPr>
                <w:rFonts w:ascii="Montserrat" w:hAnsi="Montserrat"/>
                <w:sz w:val="20"/>
                <w:szCs w:val="20"/>
              </w:rPr>
              <w:t>.</w:t>
            </w:r>
          </w:p>
        </w:tc>
      </w:tr>
      <w:tr w:rsidR="004D56CC" w:rsidRPr="004D56CC" w14:paraId="644AD62C" w14:textId="77777777" w:rsidTr="004D56CC">
        <w:tc>
          <w:tcPr>
            <w:tcW w:w="2245" w:type="dxa"/>
          </w:tcPr>
          <w:p w14:paraId="2E783C18" w14:textId="753ED2C7" w:rsidR="004D56CC" w:rsidRPr="004D56CC" w:rsidRDefault="004D56CC" w:rsidP="004D56CC">
            <w:pPr>
              <w:pStyle w:val="NoSpacing"/>
              <w:rPr>
                <w:rFonts w:ascii="Montserrat" w:hAnsi="Montserrat"/>
                <w:b/>
                <w:color w:val="00B0F0"/>
                <w:sz w:val="20"/>
                <w:szCs w:val="20"/>
              </w:rPr>
            </w:pPr>
            <w:r w:rsidRPr="004D56CC">
              <w:rPr>
                <w:rFonts w:ascii="Montserrat" w:hAnsi="Montserrat"/>
                <w:b/>
                <w:color w:val="00B0F0"/>
                <w:sz w:val="20"/>
                <w:szCs w:val="20"/>
              </w:rPr>
              <w:t>Objectives of the assignment</w:t>
            </w:r>
          </w:p>
        </w:tc>
        <w:tc>
          <w:tcPr>
            <w:tcW w:w="7134" w:type="dxa"/>
          </w:tcPr>
          <w:p w14:paraId="55A634F7" w14:textId="07058BDA" w:rsidR="004D56CC" w:rsidRPr="004D56CC" w:rsidRDefault="004D56CC" w:rsidP="004D56CC">
            <w:pPr>
              <w:pStyle w:val="NoSpacing"/>
              <w:jc w:val="both"/>
              <w:rPr>
                <w:rFonts w:ascii="Montserrat" w:hAnsi="Montserrat"/>
                <w:color w:val="00B0F0"/>
                <w:sz w:val="20"/>
                <w:szCs w:val="20"/>
              </w:rPr>
            </w:pPr>
            <w:r w:rsidRPr="004D56CC">
              <w:rPr>
                <w:rFonts w:ascii="Montserrat" w:hAnsi="Montserrat"/>
                <w:sz w:val="20"/>
                <w:szCs w:val="20"/>
              </w:rPr>
              <w:t xml:space="preserve">The primary objective of this task is to develop a policy brief on </w:t>
            </w:r>
            <w:r w:rsidR="004668B2">
              <w:rPr>
                <w:rFonts w:ascii="Montserrat" w:hAnsi="Montserrat"/>
                <w:sz w:val="20"/>
                <w:szCs w:val="20"/>
              </w:rPr>
              <w:t xml:space="preserve">effectiveness of reentry guidelines </w:t>
            </w:r>
            <w:r w:rsidRPr="004D56CC">
              <w:rPr>
                <w:rFonts w:ascii="Montserrat" w:hAnsi="Montserrat"/>
                <w:sz w:val="20"/>
                <w:szCs w:val="20"/>
              </w:rPr>
              <w:t>targeted at duty bearers. The brief will highlight be</w:t>
            </w:r>
            <w:r w:rsidR="004668B2">
              <w:rPr>
                <w:rFonts w:ascii="Montserrat" w:hAnsi="Montserrat"/>
                <w:sz w:val="20"/>
                <w:szCs w:val="20"/>
              </w:rPr>
              <w:t>st practices</w:t>
            </w:r>
            <w:r w:rsidRPr="004D56CC">
              <w:rPr>
                <w:rFonts w:ascii="Montserrat" w:hAnsi="Montserrat"/>
                <w:sz w:val="20"/>
                <w:szCs w:val="20"/>
              </w:rPr>
              <w:t>, key achievements</w:t>
            </w:r>
            <w:r w:rsidR="004668B2">
              <w:rPr>
                <w:rFonts w:ascii="Montserrat" w:hAnsi="Montserrat"/>
                <w:sz w:val="20"/>
                <w:szCs w:val="20"/>
              </w:rPr>
              <w:t xml:space="preserve"> of the guideline and reentry</w:t>
            </w:r>
            <w:bookmarkStart w:id="0" w:name="_GoBack"/>
            <w:bookmarkEnd w:id="0"/>
            <w:r w:rsidRPr="004D56CC">
              <w:rPr>
                <w:rFonts w:ascii="Montserrat" w:hAnsi="Montserrat"/>
                <w:sz w:val="20"/>
                <w:szCs w:val="20"/>
              </w:rPr>
              <w:t>, and existing challenges to support informed decision-making and policy implementation.</w:t>
            </w:r>
          </w:p>
        </w:tc>
      </w:tr>
      <w:tr w:rsidR="004D56CC" w:rsidRPr="004D56CC" w14:paraId="212D3B37" w14:textId="77777777" w:rsidTr="004D56CC">
        <w:tc>
          <w:tcPr>
            <w:tcW w:w="2245" w:type="dxa"/>
          </w:tcPr>
          <w:p w14:paraId="26074C26" w14:textId="228B2E54" w:rsidR="004D56CC" w:rsidRPr="004D56CC" w:rsidRDefault="004D56CC" w:rsidP="004D56CC">
            <w:pPr>
              <w:pStyle w:val="NoSpacing"/>
              <w:rPr>
                <w:rFonts w:ascii="Montserrat" w:hAnsi="Montserrat"/>
                <w:b/>
                <w:color w:val="00B0F0"/>
                <w:sz w:val="20"/>
                <w:szCs w:val="20"/>
              </w:rPr>
            </w:pPr>
            <w:r w:rsidRPr="004D56CC">
              <w:rPr>
                <w:rFonts w:ascii="Montserrat" w:hAnsi="Montserrat"/>
                <w:b/>
                <w:color w:val="00B0F0"/>
                <w:sz w:val="20"/>
                <w:szCs w:val="20"/>
              </w:rPr>
              <w:lastRenderedPageBreak/>
              <w:t>Deliverables</w:t>
            </w:r>
          </w:p>
        </w:tc>
        <w:tc>
          <w:tcPr>
            <w:tcW w:w="7134" w:type="dxa"/>
          </w:tcPr>
          <w:p w14:paraId="01011271" w14:textId="3DA3E44B" w:rsidR="004D56CC" w:rsidRPr="004D56CC" w:rsidRDefault="004D56CC" w:rsidP="00DC438C">
            <w:pPr>
              <w:rPr>
                <w:rFonts w:ascii="Montserrat" w:hAnsi="Montserrat"/>
                <w:sz w:val="20"/>
                <w:szCs w:val="20"/>
              </w:rPr>
            </w:pPr>
            <w:r w:rsidRPr="004D56CC">
              <w:rPr>
                <w:rFonts w:ascii="Montserrat" w:hAnsi="Montserrat"/>
                <w:sz w:val="20"/>
                <w:szCs w:val="20"/>
              </w:rPr>
              <w:t xml:space="preserve">Policy Brief on </w:t>
            </w:r>
            <w:r w:rsidR="00DC438C">
              <w:rPr>
                <w:rFonts w:ascii="Montserrat" w:hAnsi="Montserrat"/>
                <w:sz w:val="20"/>
                <w:szCs w:val="20"/>
              </w:rPr>
              <w:t>effectiveness of reentry guidelines in ensuring access to education for adolescent girls.</w:t>
            </w:r>
          </w:p>
        </w:tc>
      </w:tr>
      <w:tr w:rsidR="004D56CC" w:rsidRPr="004D56CC" w14:paraId="5644362A" w14:textId="77777777" w:rsidTr="004D56CC">
        <w:tc>
          <w:tcPr>
            <w:tcW w:w="2245" w:type="dxa"/>
          </w:tcPr>
          <w:p w14:paraId="5F456F5E" w14:textId="3ABE1CB6" w:rsidR="004D56CC" w:rsidRPr="004D56CC" w:rsidRDefault="004D56CC" w:rsidP="004D56CC">
            <w:pPr>
              <w:pStyle w:val="NoSpacing"/>
              <w:rPr>
                <w:rFonts w:ascii="Montserrat" w:hAnsi="Montserrat"/>
                <w:b/>
                <w:color w:val="00B0F0"/>
                <w:sz w:val="20"/>
                <w:szCs w:val="20"/>
              </w:rPr>
            </w:pPr>
            <w:r w:rsidRPr="004D56CC">
              <w:rPr>
                <w:rFonts w:ascii="Montserrat" w:hAnsi="Montserrat"/>
                <w:b/>
                <w:color w:val="00B0F0"/>
                <w:sz w:val="20"/>
                <w:szCs w:val="20"/>
              </w:rPr>
              <w:t>Reporting requirements</w:t>
            </w:r>
          </w:p>
        </w:tc>
        <w:tc>
          <w:tcPr>
            <w:tcW w:w="7134" w:type="dxa"/>
          </w:tcPr>
          <w:p w14:paraId="05CE4BF2" w14:textId="69507EA8" w:rsidR="004D56CC" w:rsidRPr="004D56CC" w:rsidRDefault="004D56CC" w:rsidP="004D56CC">
            <w:pPr>
              <w:pStyle w:val="NoSpacing"/>
              <w:rPr>
                <w:rFonts w:ascii="Montserrat" w:hAnsi="Montserrat"/>
                <w:sz w:val="20"/>
                <w:szCs w:val="20"/>
              </w:rPr>
            </w:pPr>
            <w:r w:rsidRPr="004D56CC">
              <w:rPr>
                <w:rFonts w:ascii="Montserrat" w:hAnsi="Montserrat"/>
                <w:sz w:val="20"/>
                <w:szCs w:val="20"/>
              </w:rPr>
              <w:t>All deliverables executed should be submitted electronically in English language.</w:t>
            </w:r>
          </w:p>
        </w:tc>
      </w:tr>
      <w:tr w:rsidR="004D56CC" w:rsidRPr="004D56CC" w14:paraId="4A877AF2" w14:textId="77777777" w:rsidTr="004D56CC">
        <w:tc>
          <w:tcPr>
            <w:tcW w:w="2245" w:type="dxa"/>
          </w:tcPr>
          <w:p w14:paraId="11DECC64" w14:textId="2A17CAAC" w:rsidR="004D56CC" w:rsidRPr="004D56CC" w:rsidRDefault="004D56CC" w:rsidP="004D56CC">
            <w:pPr>
              <w:pStyle w:val="NoSpacing"/>
              <w:rPr>
                <w:rFonts w:ascii="Montserrat" w:hAnsi="Montserrat"/>
                <w:b/>
                <w:color w:val="00B0F0"/>
                <w:sz w:val="20"/>
                <w:szCs w:val="20"/>
              </w:rPr>
            </w:pPr>
            <w:r w:rsidRPr="004D56CC">
              <w:rPr>
                <w:rFonts w:ascii="Montserrat" w:hAnsi="Montserrat"/>
                <w:b/>
                <w:color w:val="00B0F0"/>
                <w:sz w:val="20"/>
                <w:szCs w:val="20"/>
              </w:rPr>
              <w:t>Scope and Duration</w:t>
            </w:r>
          </w:p>
        </w:tc>
        <w:tc>
          <w:tcPr>
            <w:tcW w:w="7134" w:type="dxa"/>
          </w:tcPr>
          <w:p w14:paraId="2B53D7B8" w14:textId="7EA948E5" w:rsidR="004D56CC" w:rsidRPr="004D56CC" w:rsidRDefault="004D56CC" w:rsidP="004D56CC">
            <w:pPr>
              <w:pStyle w:val="NoSpacing"/>
              <w:rPr>
                <w:rFonts w:ascii="Montserrat" w:hAnsi="Montserrat"/>
                <w:color w:val="00B0F0"/>
                <w:sz w:val="20"/>
                <w:szCs w:val="20"/>
              </w:rPr>
            </w:pPr>
            <w:r w:rsidRPr="004D56CC">
              <w:rPr>
                <w:rFonts w:ascii="Montserrat" w:hAnsi="Montserrat"/>
                <w:sz w:val="20"/>
                <w:szCs w:val="20"/>
              </w:rPr>
              <w:t>The brief will consider secondary data and accurate information available. The timeline for the task is 10 days.</w:t>
            </w:r>
          </w:p>
        </w:tc>
      </w:tr>
      <w:tr w:rsidR="004D56CC" w:rsidRPr="004D56CC" w14:paraId="0563578D" w14:textId="77777777" w:rsidTr="004D56CC">
        <w:tc>
          <w:tcPr>
            <w:tcW w:w="2245" w:type="dxa"/>
          </w:tcPr>
          <w:p w14:paraId="4A846C3B" w14:textId="66EE6A75" w:rsidR="004D56CC" w:rsidRPr="004D56CC" w:rsidRDefault="004D56CC" w:rsidP="004D56CC">
            <w:pPr>
              <w:pStyle w:val="NoSpacing"/>
              <w:rPr>
                <w:rFonts w:ascii="Montserrat" w:hAnsi="Montserrat"/>
                <w:b/>
                <w:color w:val="00B0F0"/>
                <w:sz w:val="20"/>
                <w:szCs w:val="20"/>
              </w:rPr>
            </w:pPr>
            <w:r w:rsidRPr="004D56CC">
              <w:rPr>
                <w:rFonts w:ascii="Montserrat" w:hAnsi="Montserrat"/>
                <w:b/>
                <w:color w:val="00B0F0"/>
                <w:sz w:val="20"/>
                <w:szCs w:val="20"/>
              </w:rPr>
              <w:t>Qualification requirements</w:t>
            </w:r>
          </w:p>
        </w:tc>
        <w:tc>
          <w:tcPr>
            <w:tcW w:w="7134" w:type="dxa"/>
          </w:tcPr>
          <w:p w14:paraId="598662DD" w14:textId="138BAE86" w:rsidR="004D56CC" w:rsidRDefault="004D56CC" w:rsidP="004D56CC">
            <w:pPr>
              <w:pStyle w:val="NoSpacing"/>
              <w:numPr>
                <w:ilvl w:val="0"/>
                <w:numId w:val="3"/>
              </w:numPr>
              <w:rPr>
                <w:rFonts w:ascii="Montserrat" w:hAnsi="Montserrat"/>
                <w:sz w:val="20"/>
                <w:szCs w:val="20"/>
              </w:rPr>
            </w:pPr>
            <w:r w:rsidRPr="004D56CC">
              <w:rPr>
                <w:rFonts w:ascii="Montserrat" w:hAnsi="Montserrat"/>
                <w:sz w:val="20"/>
                <w:szCs w:val="20"/>
              </w:rPr>
              <w:t>The assignment is open to proposals from Individual consultant, A Team of consu</w:t>
            </w:r>
            <w:r>
              <w:rPr>
                <w:rFonts w:ascii="Montserrat" w:hAnsi="Montserrat"/>
                <w:sz w:val="20"/>
                <w:szCs w:val="20"/>
              </w:rPr>
              <w:t xml:space="preserve">ltants or a consultancy firms. </w:t>
            </w:r>
          </w:p>
          <w:p w14:paraId="5538F6DD" w14:textId="7A587422" w:rsidR="004D56CC" w:rsidRPr="004D56CC" w:rsidRDefault="004D56CC" w:rsidP="004D56CC">
            <w:pPr>
              <w:pStyle w:val="NoSpacing"/>
              <w:numPr>
                <w:ilvl w:val="0"/>
                <w:numId w:val="3"/>
              </w:numPr>
              <w:rPr>
                <w:rFonts w:ascii="Montserrat" w:hAnsi="Montserrat"/>
                <w:sz w:val="20"/>
                <w:szCs w:val="20"/>
              </w:rPr>
            </w:pPr>
            <w:r w:rsidRPr="004D56CC">
              <w:rPr>
                <w:rFonts w:ascii="Montserrat" w:hAnsi="Montserrat"/>
                <w:sz w:val="20"/>
                <w:szCs w:val="20"/>
              </w:rPr>
              <w:t>The consultant should have relevant qua</w:t>
            </w:r>
            <w:r w:rsidR="00FC635C">
              <w:rPr>
                <w:rFonts w:ascii="Montserrat" w:hAnsi="Montserrat"/>
                <w:sz w:val="20"/>
                <w:szCs w:val="20"/>
              </w:rPr>
              <w:t>lification on adolescents, SRHR, re netry</w:t>
            </w:r>
            <w:r w:rsidRPr="004D56CC">
              <w:rPr>
                <w:rFonts w:ascii="Montserrat" w:hAnsi="Montserrat"/>
                <w:sz w:val="20"/>
                <w:szCs w:val="20"/>
              </w:rPr>
              <w:t xml:space="preserve"> and legal and policy analysis</w:t>
            </w:r>
          </w:p>
        </w:tc>
      </w:tr>
      <w:tr w:rsidR="004D56CC" w:rsidRPr="004D56CC" w14:paraId="4770DE14" w14:textId="77777777" w:rsidTr="004D56CC">
        <w:tc>
          <w:tcPr>
            <w:tcW w:w="2245" w:type="dxa"/>
          </w:tcPr>
          <w:p w14:paraId="4F2278D7" w14:textId="5F0951BE" w:rsidR="004D56CC" w:rsidRPr="004D56CC" w:rsidRDefault="004D56CC" w:rsidP="004D56CC">
            <w:pPr>
              <w:pStyle w:val="NoSpacing"/>
              <w:rPr>
                <w:rFonts w:ascii="Montserrat" w:hAnsi="Montserrat"/>
                <w:b/>
                <w:color w:val="00B0F0"/>
                <w:sz w:val="20"/>
                <w:szCs w:val="20"/>
              </w:rPr>
            </w:pPr>
            <w:r w:rsidRPr="004D56CC">
              <w:rPr>
                <w:rFonts w:ascii="Montserrat" w:hAnsi="Montserrat"/>
                <w:b/>
                <w:color w:val="00B0F0"/>
                <w:sz w:val="20"/>
                <w:szCs w:val="20"/>
              </w:rPr>
              <w:t>Evaluation process and methods</w:t>
            </w:r>
          </w:p>
        </w:tc>
        <w:tc>
          <w:tcPr>
            <w:tcW w:w="7134" w:type="dxa"/>
          </w:tcPr>
          <w:tbl>
            <w:tblPr>
              <w:tblStyle w:val="TableGrid"/>
              <w:tblW w:w="0" w:type="auto"/>
              <w:tblLook w:val="04A0" w:firstRow="1" w:lastRow="0" w:firstColumn="1" w:lastColumn="0" w:noHBand="0" w:noVBand="1"/>
            </w:tblPr>
            <w:tblGrid>
              <w:gridCol w:w="695"/>
              <w:gridCol w:w="4050"/>
              <w:gridCol w:w="2163"/>
            </w:tblGrid>
            <w:tr w:rsidR="004D56CC" w14:paraId="1E6605A0" w14:textId="77777777" w:rsidTr="004D56CC">
              <w:tc>
                <w:tcPr>
                  <w:tcW w:w="695" w:type="dxa"/>
                </w:tcPr>
                <w:p w14:paraId="419A7FB0" w14:textId="00782D73" w:rsidR="004D56CC" w:rsidRPr="004D56CC" w:rsidRDefault="004D56CC" w:rsidP="004D56CC">
                  <w:pPr>
                    <w:pStyle w:val="NoSpacing"/>
                    <w:jc w:val="center"/>
                    <w:rPr>
                      <w:rFonts w:ascii="Montserrat" w:hAnsi="Montserrat"/>
                      <w:b/>
                      <w:sz w:val="20"/>
                      <w:szCs w:val="20"/>
                    </w:rPr>
                  </w:pPr>
                  <w:r w:rsidRPr="004D56CC">
                    <w:rPr>
                      <w:rFonts w:ascii="Montserrat" w:hAnsi="Montserrat"/>
                      <w:b/>
                      <w:sz w:val="20"/>
                      <w:szCs w:val="20"/>
                    </w:rPr>
                    <w:t>No</w:t>
                  </w:r>
                </w:p>
              </w:tc>
              <w:tc>
                <w:tcPr>
                  <w:tcW w:w="4050" w:type="dxa"/>
                </w:tcPr>
                <w:p w14:paraId="5F2163F8" w14:textId="1B3907FD" w:rsidR="004D56CC" w:rsidRPr="004D56CC" w:rsidRDefault="004D56CC" w:rsidP="004D56CC">
                  <w:pPr>
                    <w:pStyle w:val="NoSpacing"/>
                    <w:jc w:val="center"/>
                    <w:rPr>
                      <w:rFonts w:ascii="Montserrat" w:hAnsi="Montserrat"/>
                      <w:b/>
                      <w:sz w:val="20"/>
                      <w:szCs w:val="20"/>
                    </w:rPr>
                  </w:pPr>
                  <w:r w:rsidRPr="004D56CC">
                    <w:rPr>
                      <w:rFonts w:ascii="Montserrat" w:hAnsi="Montserrat"/>
                      <w:b/>
                      <w:sz w:val="20"/>
                      <w:szCs w:val="20"/>
                    </w:rPr>
                    <w:t>Criteria</w:t>
                  </w:r>
                </w:p>
              </w:tc>
              <w:tc>
                <w:tcPr>
                  <w:tcW w:w="2163" w:type="dxa"/>
                </w:tcPr>
                <w:p w14:paraId="1F05038D" w14:textId="25738B64" w:rsidR="004D56CC" w:rsidRPr="004D56CC" w:rsidRDefault="004D56CC" w:rsidP="004D56CC">
                  <w:pPr>
                    <w:pStyle w:val="NoSpacing"/>
                    <w:jc w:val="center"/>
                    <w:rPr>
                      <w:rFonts w:ascii="Montserrat" w:hAnsi="Montserrat"/>
                      <w:b/>
                      <w:sz w:val="20"/>
                      <w:szCs w:val="20"/>
                    </w:rPr>
                  </w:pPr>
                  <w:r w:rsidRPr="004D56CC">
                    <w:rPr>
                      <w:rFonts w:ascii="Montserrat" w:hAnsi="Montserrat"/>
                      <w:b/>
                      <w:sz w:val="20"/>
                      <w:szCs w:val="20"/>
                    </w:rPr>
                    <w:t>Score</w:t>
                  </w:r>
                </w:p>
              </w:tc>
            </w:tr>
            <w:tr w:rsidR="004D56CC" w14:paraId="00A1D683" w14:textId="77777777" w:rsidTr="004D56CC">
              <w:tc>
                <w:tcPr>
                  <w:tcW w:w="695" w:type="dxa"/>
                </w:tcPr>
                <w:p w14:paraId="4AF296F4" w14:textId="20BA74A3" w:rsidR="004D56CC" w:rsidRDefault="004D56CC" w:rsidP="004D56CC">
                  <w:pPr>
                    <w:pStyle w:val="NoSpacing"/>
                    <w:numPr>
                      <w:ilvl w:val="0"/>
                      <w:numId w:val="4"/>
                    </w:numPr>
                    <w:rPr>
                      <w:rFonts w:ascii="Montserrat" w:hAnsi="Montserrat"/>
                      <w:b/>
                      <w:color w:val="00B0F0"/>
                      <w:sz w:val="20"/>
                      <w:szCs w:val="20"/>
                    </w:rPr>
                  </w:pPr>
                </w:p>
              </w:tc>
              <w:tc>
                <w:tcPr>
                  <w:tcW w:w="4050" w:type="dxa"/>
                </w:tcPr>
                <w:p w14:paraId="5795E196" w14:textId="4DFDBB02" w:rsidR="004D56CC" w:rsidRPr="004D56CC" w:rsidRDefault="004D56CC" w:rsidP="004D56CC">
                  <w:pPr>
                    <w:pStyle w:val="NoSpacing"/>
                    <w:rPr>
                      <w:rFonts w:ascii="Montserrat" w:hAnsi="Montserrat"/>
                      <w:sz w:val="20"/>
                      <w:szCs w:val="20"/>
                    </w:rPr>
                  </w:pPr>
                  <w:r w:rsidRPr="004D56CC">
                    <w:rPr>
                      <w:rFonts w:ascii="Montserrat" w:hAnsi="Montserrat"/>
                      <w:sz w:val="20"/>
                      <w:szCs w:val="20"/>
                    </w:rPr>
                    <w:t>Qualifications and professional experience</w:t>
                  </w:r>
                </w:p>
              </w:tc>
              <w:tc>
                <w:tcPr>
                  <w:tcW w:w="2163" w:type="dxa"/>
                </w:tcPr>
                <w:p w14:paraId="2BFC1441" w14:textId="7E757617" w:rsidR="004D56CC" w:rsidRPr="004D56CC" w:rsidRDefault="004D56CC" w:rsidP="004D56CC">
                  <w:pPr>
                    <w:pStyle w:val="NoSpacing"/>
                    <w:rPr>
                      <w:rFonts w:ascii="Montserrat" w:hAnsi="Montserrat"/>
                      <w:sz w:val="20"/>
                      <w:szCs w:val="20"/>
                    </w:rPr>
                  </w:pPr>
                  <w:r w:rsidRPr="004D56CC">
                    <w:rPr>
                      <w:rFonts w:ascii="Montserrat" w:hAnsi="Montserrat"/>
                      <w:sz w:val="20"/>
                      <w:szCs w:val="20"/>
                    </w:rPr>
                    <w:t>20</w:t>
                  </w:r>
                </w:p>
              </w:tc>
            </w:tr>
            <w:tr w:rsidR="004D56CC" w14:paraId="18846A43" w14:textId="77777777" w:rsidTr="004D56CC">
              <w:tc>
                <w:tcPr>
                  <w:tcW w:w="695" w:type="dxa"/>
                </w:tcPr>
                <w:p w14:paraId="5BAF0B59" w14:textId="2CADD7EF" w:rsidR="004D56CC" w:rsidRDefault="004D56CC" w:rsidP="004D56CC">
                  <w:pPr>
                    <w:pStyle w:val="NoSpacing"/>
                    <w:numPr>
                      <w:ilvl w:val="0"/>
                      <w:numId w:val="4"/>
                    </w:numPr>
                    <w:rPr>
                      <w:rFonts w:ascii="Montserrat" w:hAnsi="Montserrat"/>
                      <w:b/>
                      <w:color w:val="00B0F0"/>
                      <w:sz w:val="20"/>
                      <w:szCs w:val="20"/>
                    </w:rPr>
                  </w:pPr>
                </w:p>
              </w:tc>
              <w:tc>
                <w:tcPr>
                  <w:tcW w:w="4050" w:type="dxa"/>
                </w:tcPr>
                <w:p w14:paraId="6553322B" w14:textId="4BF77A86" w:rsidR="004D56CC" w:rsidRPr="004D56CC" w:rsidRDefault="004D56CC" w:rsidP="004D56CC">
                  <w:pPr>
                    <w:pStyle w:val="NoSpacing"/>
                    <w:rPr>
                      <w:rFonts w:ascii="Montserrat" w:hAnsi="Montserrat"/>
                      <w:sz w:val="20"/>
                      <w:szCs w:val="20"/>
                    </w:rPr>
                  </w:pPr>
                  <w:r w:rsidRPr="004D56CC">
                    <w:rPr>
                      <w:rFonts w:ascii="Montserrat" w:hAnsi="Montserrat"/>
                      <w:sz w:val="20"/>
                      <w:szCs w:val="20"/>
                    </w:rPr>
                    <w:t>Approach and methodology for the assignment</w:t>
                  </w:r>
                </w:p>
              </w:tc>
              <w:tc>
                <w:tcPr>
                  <w:tcW w:w="2163" w:type="dxa"/>
                </w:tcPr>
                <w:p w14:paraId="43B882F3" w14:textId="6C231DEB" w:rsidR="004D56CC" w:rsidRPr="004D56CC" w:rsidRDefault="004D56CC" w:rsidP="004D56CC">
                  <w:pPr>
                    <w:pStyle w:val="NoSpacing"/>
                    <w:rPr>
                      <w:rFonts w:ascii="Montserrat" w:hAnsi="Montserrat"/>
                      <w:sz w:val="20"/>
                      <w:szCs w:val="20"/>
                    </w:rPr>
                  </w:pPr>
                  <w:r w:rsidRPr="004D56CC">
                    <w:rPr>
                      <w:rFonts w:ascii="Montserrat" w:hAnsi="Montserrat"/>
                      <w:sz w:val="20"/>
                      <w:szCs w:val="20"/>
                    </w:rPr>
                    <w:t>40</w:t>
                  </w:r>
                </w:p>
              </w:tc>
            </w:tr>
            <w:tr w:rsidR="004D56CC" w14:paraId="397E667B" w14:textId="77777777" w:rsidTr="004D56CC">
              <w:tc>
                <w:tcPr>
                  <w:tcW w:w="695" w:type="dxa"/>
                </w:tcPr>
                <w:p w14:paraId="2AED58D8" w14:textId="5205634A" w:rsidR="004D56CC" w:rsidRDefault="004D56CC" w:rsidP="004D56CC">
                  <w:pPr>
                    <w:pStyle w:val="NoSpacing"/>
                    <w:numPr>
                      <w:ilvl w:val="0"/>
                      <w:numId w:val="4"/>
                    </w:numPr>
                    <w:rPr>
                      <w:rFonts w:ascii="Montserrat" w:hAnsi="Montserrat"/>
                      <w:b/>
                      <w:color w:val="00B0F0"/>
                      <w:sz w:val="20"/>
                      <w:szCs w:val="20"/>
                    </w:rPr>
                  </w:pPr>
                </w:p>
              </w:tc>
              <w:tc>
                <w:tcPr>
                  <w:tcW w:w="4050" w:type="dxa"/>
                </w:tcPr>
                <w:p w14:paraId="6E761B66" w14:textId="77EBF7DA" w:rsidR="004D56CC" w:rsidRPr="004D56CC" w:rsidRDefault="004D56CC" w:rsidP="004D56CC">
                  <w:pPr>
                    <w:pStyle w:val="NoSpacing"/>
                    <w:rPr>
                      <w:rFonts w:ascii="Montserrat" w:hAnsi="Montserrat"/>
                      <w:sz w:val="20"/>
                      <w:szCs w:val="20"/>
                    </w:rPr>
                  </w:pPr>
                  <w:r w:rsidRPr="004D56CC">
                    <w:rPr>
                      <w:rFonts w:ascii="Montserrat" w:hAnsi="Montserrat"/>
                      <w:sz w:val="20"/>
                      <w:szCs w:val="20"/>
                    </w:rPr>
                    <w:t>Experience</w:t>
                  </w:r>
                </w:p>
              </w:tc>
              <w:tc>
                <w:tcPr>
                  <w:tcW w:w="2163" w:type="dxa"/>
                </w:tcPr>
                <w:p w14:paraId="44061C74" w14:textId="1ABA59ED" w:rsidR="004D56CC" w:rsidRPr="004D56CC" w:rsidRDefault="004D56CC" w:rsidP="004D56CC">
                  <w:pPr>
                    <w:pStyle w:val="NoSpacing"/>
                    <w:rPr>
                      <w:rFonts w:ascii="Montserrat" w:hAnsi="Montserrat"/>
                      <w:sz w:val="20"/>
                      <w:szCs w:val="20"/>
                    </w:rPr>
                  </w:pPr>
                  <w:r w:rsidRPr="004D56CC">
                    <w:rPr>
                      <w:rFonts w:ascii="Montserrat" w:hAnsi="Montserrat"/>
                      <w:sz w:val="20"/>
                      <w:szCs w:val="20"/>
                    </w:rPr>
                    <w:t>20</w:t>
                  </w:r>
                </w:p>
              </w:tc>
            </w:tr>
            <w:tr w:rsidR="004D56CC" w14:paraId="6CAC5C3C" w14:textId="77777777" w:rsidTr="004D56CC">
              <w:tc>
                <w:tcPr>
                  <w:tcW w:w="695" w:type="dxa"/>
                </w:tcPr>
                <w:p w14:paraId="412E5C71" w14:textId="4183EB12" w:rsidR="004D56CC" w:rsidRDefault="004D56CC" w:rsidP="004D56CC">
                  <w:pPr>
                    <w:pStyle w:val="NoSpacing"/>
                    <w:numPr>
                      <w:ilvl w:val="0"/>
                      <w:numId w:val="4"/>
                    </w:numPr>
                    <w:rPr>
                      <w:rFonts w:ascii="Montserrat" w:hAnsi="Montserrat"/>
                      <w:b/>
                      <w:color w:val="00B0F0"/>
                      <w:sz w:val="20"/>
                      <w:szCs w:val="20"/>
                    </w:rPr>
                  </w:pPr>
                </w:p>
              </w:tc>
              <w:tc>
                <w:tcPr>
                  <w:tcW w:w="4050" w:type="dxa"/>
                </w:tcPr>
                <w:p w14:paraId="2A9D3A23" w14:textId="56B939DC" w:rsidR="004D56CC" w:rsidRPr="004D56CC" w:rsidRDefault="004D56CC" w:rsidP="004D56CC">
                  <w:pPr>
                    <w:pStyle w:val="NoSpacing"/>
                    <w:rPr>
                      <w:rFonts w:ascii="Montserrat" w:hAnsi="Montserrat"/>
                      <w:sz w:val="20"/>
                      <w:szCs w:val="20"/>
                    </w:rPr>
                  </w:pPr>
                  <w:r w:rsidRPr="004D56CC">
                    <w:rPr>
                      <w:rFonts w:ascii="Montserrat" w:hAnsi="Montserrat"/>
                      <w:sz w:val="20"/>
                      <w:szCs w:val="20"/>
                    </w:rPr>
                    <w:t>Financial proposal and budget</w:t>
                  </w:r>
                </w:p>
              </w:tc>
              <w:tc>
                <w:tcPr>
                  <w:tcW w:w="2163" w:type="dxa"/>
                </w:tcPr>
                <w:p w14:paraId="6CCC1772" w14:textId="1F845F26" w:rsidR="004D56CC" w:rsidRPr="004D56CC" w:rsidRDefault="004D56CC" w:rsidP="004D56CC">
                  <w:pPr>
                    <w:pStyle w:val="NoSpacing"/>
                    <w:rPr>
                      <w:rFonts w:ascii="Montserrat" w:hAnsi="Montserrat"/>
                      <w:sz w:val="20"/>
                      <w:szCs w:val="20"/>
                    </w:rPr>
                  </w:pPr>
                  <w:r w:rsidRPr="004D56CC">
                    <w:rPr>
                      <w:rFonts w:ascii="Montserrat" w:hAnsi="Montserrat"/>
                      <w:sz w:val="20"/>
                      <w:szCs w:val="20"/>
                    </w:rPr>
                    <w:t>20</w:t>
                  </w:r>
                </w:p>
              </w:tc>
            </w:tr>
          </w:tbl>
          <w:p w14:paraId="7882A7EB" w14:textId="77777777" w:rsidR="004D56CC" w:rsidRPr="004D56CC" w:rsidRDefault="004D56CC" w:rsidP="004D56CC">
            <w:pPr>
              <w:pStyle w:val="NoSpacing"/>
              <w:rPr>
                <w:rFonts w:ascii="Montserrat" w:hAnsi="Montserrat"/>
                <w:b/>
                <w:color w:val="00B0F0"/>
                <w:sz w:val="20"/>
                <w:szCs w:val="20"/>
              </w:rPr>
            </w:pPr>
          </w:p>
        </w:tc>
      </w:tr>
      <w:tr w:rsidR="004D56CC" w:rsidRPr="004D56CC" w14:paraId="4BA37538" w14:textId="77777777" w:rsidTr="004D56CC">
        <w:tc>
          <w:tcPr>
            <w:tcW w:w="2245" w:type="dxa"/>
          </w:tcPr>
          <w:p w14:paraId="2DCF667C" w14:textId="6422E462" w:rsidR="004D56CC" w:rsidRPr="004D56CC" w:rsidRDefault="004D56CC" w:rsidP="004D56CC">
            <w:pPr>
              <w:pStyle w:val="NoSpacing"/>
              <w:rPr>
                <w:rFonts w:ascii="Montserrat" w:hAnsi="Montserrat"/>
                <w:b/>
                <w:color w:val="00B0F0"/>
                <w:sz w:val="20"/>
                <w:szCs w:val="20"/>
              </w:rPr>
            </w:pPr>
            <w:r w:rsidRPr="004D56CC">
              <w:rPr>
                <w:rFonts w:ascii="Montserrat" w:hAnsi="Montserrat"/>
                <w:b/>
                <w:color w:val="00B0F0"/>
                <w:sz w:val="20"/>
                <w:szCs w:val="20"/>
              </w:rPr>
              <w:t>Administrative issues</w:t>
            </w:r>
          </w:p>
        </w:tc>
        <w:tc>
          <w:tcPr>
            <w:tcW w:w="7134" w:type="dxa"/>
          </w:tcPr>
          <w:p w14:paraId="7A7B616A" w14:textId="6A5521CE" w:rsidR="004D56CC" w:rsidRDefault="004D56CC" w:rsidP="004D56CC">
            <w:pPr>
              <w:pStyle w:val="NoSpacing"/>
              <w:numPr>
                <w:ilvl w:val="0"/>
                <w:numId w:val="5"/>
              </w:numPr>
              <w:rPr>
                <w:rFonts w:ascii="Montserrat" w:hAnsi="Montserrat"/>
                <w:sz w:val="20"/>
                <w:szCs w:val="20"/>
              </w:rPr>
            </w:pPr>
            <w:r w:rsidRPr="004D56CC">
              <w:rPr>
                <w:rFonts w:ascii="Montserrat" w:hAnsi="Montserrat"/>
                <w:sz w:val="20"/>
                <w:szCs w:val="20"/>
              </w:rPr>
              <w:t xml:space="preserve">Provide an all-inclusive </w:t>
            </w:r>
            <w:r>
              <w:rPr>
                <w:rFonts w:ascii="Montserrat" w:hAnsi="Montserrat"/>
                <w:sz w:val="20"/>
                <w:szCs w:val="20"/>
              </w:rPr>
              <w:t>cost in the financial proposal.</w:t>
            </w:r>
          </w:p>
          <w:p w14:paraId="6A13A044" w14:textId="77777777" w:rsidR="004D56CC" w:rsidRDefault="004D56CC" w:rsidP="004D56CC">
            <w:pPr>
              <w:pStyle w:val="NoSpacing"/>
              <w:numPr>
                <w:ilvl w:val="0"/>
                <w:numId w:val="5"/>
              </w:numPr>
              <w:rPr>
                <w:rFonts w:ascii="Montserrat" w:hAnsi="Montserrat"/>
                <w:sz w:val="20"/>
                <w:szCs w:val="20"/>
              </w:rPr>
            </w:pPr>
            <w:r w:rsidRPr="004D56CC">
              <w:rPr>
                <w:rFonts w:ascii="Montserrat" w:hAnsi="Montserrat"/>
                <w:sz w:val="20"/>
                <w:szCs w:val="20"/>
              </w:rPr>
              <w:t>Payments will be made upon submission and acceptance of specified deliverables and submission of invoices.</w:t>
            </w:r>
          </w:p>
          <w:p w14:paraId="089B5F4B" w14:textId="343B82BF" w:rsidR="004D56CC" w:rsidRPr="004D56CC" w:rsidRDefault="004D56CC" w:rsidP="004D56CC">
            <w:pPr>
              <w:pStyle w:val="NoSpacing"/>
              <w:numPr>
                <w:ilvl w:val="0"/>
                <w:numId w:val="5"/>
              </w:numPr>
              <w:rPr>
                <w:rFonts w:ascii="Montserrat" w:hAnsi="Montserrat"/>
                <w:sz w:val="20"/>
                <w:szCs w:val="20"/>
              </w:rPr>
            </w:pPr>
            <w:r w:rsidRPr="004D56CC">
              <w:rPr>
                <w:rFonts w:ascii="Montserrat" w:hAnsi="Montserrat"/>
                <w:sz w:val="20"/>
                <w:szCs w:val="20"/>
              </w:rPr>
              <w:t>LHRC reserve the right to withhold all or a portion of payment if performance is unsatisfactory, if work/outputs is incomplete, not delivered or for failure to meet deadlines.</w:t>
            </w:r>
          </w:p>
        </w:tc>
      </w:tr>
      <w:tr w:rsidR="004D56CC" w:rsidRPr="004D56CC" w14:paraId="046F9FA3" w14:textId="77777777" w:rsidTr="004D56CC">
        <w:tc>
          <w:tcPr>
            <w:tcW w:w="2245" w:type="dxa"/>
          </w:tcPr>
          <w:p w14:paraId="7203D033" w14:textId="5E5C151C" w:rsidR="004D56CC" w:rsidRPr="004D56CC" w:rsidRDefault="004D56CC" w:rsidP="004D56CC">
            <w:pPr>
              <w:pStyle w:val="NoSpacing"/>
              <w:rPr>
                <w:rFonts w:ascii="Montserrat" w:hAnsi="Montserrat"/>
                <w:b/>
                <w:color w:val="00B0F0"/>
                <w:sz w:val="20"/>
                <w:szCs w:val="20"/>
              </w:rPr>
            </w:pPr>
            <w:r w:rsidRPr="004D56CC">
              <w:rPr>
                <w:rFonts w:ascii="Montserrat" w:hAnsi="Montserrat"/>
                <w:b/>
                <w:color w:val="00B0F0"/>
                <w:sz w:val="20"/>
                <w:szCs w:val="20"/>
              </w:rPr>
              <w:t>Management of the Task</w:t>
            </w:r>
          </w:p>
        </w:tc>
        <w:tc>
          <w:tcPr>
            <w:tcW w:w="7134" w:type="dxa"/>
          </w:tcPr>
          <w:p w14:paraId="794BE839" w14:textId="77777777" w:rsidR="004D56CC" w:rsidRPr="004D56CC" w:rsidRDefault="004D56CC" w:rsidP="004D56CC">
            <w:pPr>
              <w:pStyle w:val="NoSpacing"/>
              <w:rPr>
                <w:rFonts w:ascii="Montserrat" w:hAnsi="Montserrat"/>
                <w:sz w:val="20"/>
                <w:szCs w:val="20"/>
              </w:rPr>
            </w:pPr>
            <w:r w:rsidRPr="004D56CC">
              <w:rPr>
                <w:rFonts w:ascii="Montserrat" w:hAnsi="Montserrat"/>
                <w:sz w:val="20"/>
                <w:szCs w:val="20"/>
              </w:rPr>
              <w:t>This assignment will be Coordinated by LHRC through the Directorate of Human Rights Monitoring and Empowerment.</w:t>
            </w:r>
          </w:p>
          <w:p w14:paraId="7018D142" w14:textId="77777777" w:rsidR="004D56CC" w:rsidRPr="004D56CC" w:rsidRDefault="004D56CC" w:rsidP="004D56CC">
            <w:pPr>
              <w:pStyle w:val="NoSpacing"/>
              <w:rPr>
                <w:rFonts w:ascii="Montserrat" w:hAnsi="Montserrat"/>
                <w:sz w:val="20"/>
                <w:szCs w:val="20"/>
              </w:rPr>
            </w:pPr>
          </w:p>
          <w:p w14:paraId="17571FE7" w14:textId="5334C774" w:rsidR="004D56CC" w:rsidRPr="004D56CC" w:rsidRDefault="004D56CC" w:rsidP="004D56CC">
            <w:pPr>
              <w:pStyle w:val="NoSpacing"/>
              <w:rPr>
                <w:rFonts w:ascii="Montserrat" w:hAnsi="Montserrat"/>
                <w:sz w:val="20"/>
                <w:szCs w:val="20"/>
              </w:rPr>
            </w:pPr>
            <w:r w:rsidRPr="004D56CC">
              <w:rPr>
                <w:rFonts w:ascii="Montserrat" w:hAnsi="Montserrat"/>
                <w:sz w:val="20"/>
                <w:szCs w:val="20"/>
              </w:rPr>
              <w:t>The terms of the contract will follow LHRC’s rules and procedures, available on request from the Secr</w:t>
            </w:r>
            <w:r>
              <w:rPr>
                <w:rFonts w:ascii="Montserrat" w:hAnsi="Montserrat"/>
                <w:sz w:val="20"/>
                <w:szCs w:val="20"/>
              </w:rPr>
              <w:t xml:space="preserve">etariat on the contacts below. </w:t>
            </w:r>
          </w:p>
        </w:tc>
      </w:tr>
      <w:tr w:rsidR="004D56CC" w:rsidRPr="004D56CC" w14:paraId="60B9BFA6" w14:textId="77777777" w:rsidTr="004D56CC">
        <w:tc>
          <w:tcPr>
            <w:tcW w:w="2245" w:type="dxa"/>
          </w:tcPr>
          <w:p w14:paraId="3E689560" w14:textId="155CC2DA" w:rsidR="004D56CC" w:rsidRPr="004D56CC" w:rsidRDefault="004D56CC" w:rsidP="004D56CC">
            <w:pPr>
              <w:pStyle w:val="NoSpacing"/>
              <w:rPr>
                <w:rFonts w:ascii="Montserrat" w:hAnsi="Montserrat"/>
                <w:b/>
                <w:color w:val="00B0F0"/>
                <w:sz w:val="20"/>
                <w:szCs w:val="20"/>
              </w:rPr>
            </w:pPr>
            <w:r w:rsidRPr="004D56CC">
              <w:rPr>
                <w:rFonts w:ascii="Montserrat" w:hAnsi="Montserrat"/>
                <w:b/>
                <w:color w:val="00B0F0"/>
                <w:sz w:val="20"/>
                <w:szCs w:val="20"/>
              </w:rPr>
              <w:t>Contacts and Deadline for Submission of Proposal</w:t>
            </w:r>
          </w:p>
        </w:tc>
        <w:tc>
          <w:tcPr>
            <w:tcW w:w="7134" w:type="dxa"/>
          </w:tcPr>
          <w:p w14:paraId="4D37620F" w14:textId="1C312205" w:rsidR="004D56CC" w:rsidRPr="004D56CC" w:rsidRDefault="004D56CC" w:rsidP="004D56CC">
            <w:pPr>
              <w:pStyle w:val="NoSpacing"/>
              <w:rPr>
                <w:rFonts w:ascii="Montserrat" w:hAnsi="Montserrat"/>
                <w:sz w:val="20"/>
                <w:szCs w:val="20"/>
              </w:rPr>
            </w:pPr>
            <w:r w:rsidRPr="004D56CC">
              <w:rPr>
                <w:rFonts w:ascii="Montserrat" w:hAnsi="Montserrat"/>
                <w:sz w:val="20"/>
                <w:szCs w:val="20"/>
              </w:rPr>
              <w:t xml:space="preserve">Submission should be made to LHRC through </w:t>
            </w:r>
            <w:hyperlink r:id="rId8" w:history="1">
              <w:r w:rsidRPr="00954EFD">
                <w:rPr>
                  <w:rStyle w:val="Hyperlink"/>
                  <w:rFonts w:ascii="Montserrat" w:hAnsi="Montserrat"/>
                  <w:sz w:val="20"/>
                  <w:szCs w:val="20"/>
                </w:rPr>
                <w:t>lhrc@humanrights.or.tz</w:t>
              </w:r>
            </w:hyperlink>
            <w:r>
              <w:rPr>
                <w:rFonts w:ascii="Montserrat" w:hAnsi="Montserrat"/>
                <w:sz w:val="20"/>
                <w:szCs w:val="20"/>
              </w:rPr>
              <w:t xml:space="preserve"> </w:t>
            </w:r>
            <w:r w:rsidRPr="004D56CC">
              <w:rPr>
                <w:rFonts w:ascii="Montserrat" w:hAnsi="Montserrat"/>
                <w:sz w:val="20"/>
                <w:szCs w:val="20"/>
              </w:rPr>
              <w:t>not later than April 31</w:t>
            </w:r>
          </w:p>
        </w:tc>
      </w:tr>
      <w:tr w:rsidR="004D56CC" w:rsidRPr="004D56CC" w14:paraId="02CA438A" w14:textId="77777777" w:rsidTr="004D56CC">
        <w:tc>
          <w:tcPr>
            <w:tcW w:w="2245" w:type="dxa"/>
          </w:tcPr>
          <w:p w14:paraId="62CD1265" w14:textId="0031FFF7" w:rsidR="004D56CC" w:rsidRPr="004D56CC" w:rsidRDefault="00F153F0" w:rsidP="004D56CC">
            <w:pPr>
              <w:pStyle w:val="NoSpacing"/>
              <w:rPr>
                <w:rFonts w:ascii="Montserrat" w:hAnsi="Montserrat"/>
                <w:b/>
                <w:color w:val="00B0F0"/>
                <w:sz w:val="20"/>
                <w:szCs w:val="20"/>
              </w:rPr>
            </w:pPr>
            <w:r w:rsidRPr="00F153F0">
              <w:rPr>
                <w:rFonts w:ascii="Montserrat" w:hAnsi="Montserrat"/>
                <w:b/>
                <w:color w:val="00B0F0"/>
                <w:sz w:val="20"/>
                <w:szCs w:val="20"/>
              </w:rPr>
              <w:t>Disclaimer</w:t>
            </w:r>
          </w:p>
        </w:tc>
        <w:tc>
          <w:tcPr>
            <w:tcW w:w="7134" w:type="dxa"/>
          </w:tcPr>
          <w:p w14:paraId="66742FCC" w14:textId="77777777" w:rsidR="004D56CC" w:rsidRPr="004D56CC" w:rsidRDefault="004D56CC" w:rsidP="004D56CC">
            <w:pPr>
              <w:pStyle w:val="NoSpacing"/>
              <w:rPr>
                <w:rFonts w:ascii="Montserrat" w:hAnsi="Montserrat"/>
                <w:sz w:val="20"/>
                <w:szCs w:val="20"/>
              </w:rPr>
            </w:pPr>
            <w:r w:rsidRPr="004D56CC">
              <w:rPr>
                <w:rFonts w:ascii="Montserrat" w:hAnsi="Montserrat"/>
                <w:sz w:val="20"/>
                <w:szCs w:val="20"/>
              </w:rPr>
              <w:t>The above statements are intended to describe the general nature and level of the work being performed by the specialist assigned to this work.</w:t>
            </w:r>
          </w:p>
          <w:p w14:paraId="125AA5D7" w14:textId="77777777" w:rsidR="004D56CC" w:rsidRPr="004D56CC" w:rsidRDefault="004D56CC" w:rsidP="004D56CC">
            <w:pPr>
              <w:pStyle w:val="NoSpacing"/>
              <w:rPr>
                <w:rFonts w:ascii="Montserrat" w:hAnsi="Montserrat"/>
                <w:sz w:val="20"/>
                <w:szCs w:val="20"/>
              </w:rPr>
            </w:pPr>
          </w:p>
          <w:p w14:paraId="3A98DED4" w14:textId="77777777" w:rsidR="004D56CC" w:rsidRPr="004D56CC" w:rsidRDefault="004D56CC" w:rsidP="004D56CC">
            <w:pPr>
              <w:pStyle w:val="NoSpacing"/>
              <w:rPr>
                <w:rFonts w:ascii="Montserrat" w:hAnsi="Montserrat"/>
                <w:sz w:val="20"/>
                <w:szCs w:val="20"/>
              </w:rPr>
            </w:pPr>
            <w:r w:rsidRPr="004D56CC">
              <w:rPr>
                <w:rFonts w:ascii="Montserrat" w:hAnsi="Montserrat"/>
                <w:sz w:val="20"/>
                <w:szCs w:val="20"/>
              </w:rPr>
              <w:t>LHRC reserves the right to amend and change responsibilities or even to cancel the recruitment to meet business and organizational needs as necessary.</w:t>
            </w:r>
          </w:p>
          <w:p w14:paraId="15A94DED" w14:textId="77777777" w:rsidR="004D56CC" w:rsidRPr="004D56CC" w:rsidRDefault="004D56CC" w:rsidP="004D56CC">
            <w:pPr>
              <w:pStyle w:val="NoSpacing"/>
              <w:rPr>
                <w:rFonts w:ascii="Montserrat" w:hAnsi="Montserrat"/>
                <w:sz w:val="20"/>
                <w:szCs w:val="20"/>
              </w:rPr>
            </w:pPr>
          </w:p>
          <w:p w14:paraId="7047851B" w14:textId="1B1F2796" w:rsidR="004D56CC" w:rsidRPr="004D56CC" w:rsidRDefault="004D56CC" w:rsidP="004D56CC">
            <w:pPr>
              <w:pStyle w:val="NoSpacing"/>
              <w:rPr>
                <w:rFonts w:ascii="Montserrat" w:hAnsi="Montserrat"/>
                <w:sz w:val="20"/>
                <w:szCs w:val="20"/>
              </w:rPr>
            </w:pPr>
            <w:r w:rsidRPr="004D56CC">
              <w:rPr>
                <w:rFonts w:ascii="Montserrat" w:hAnsi="Montserrat"/>
                <w:sz w:val="20"/>
                <w:szCs w:val="20"/>
              </w:rPr>
              <w:t>The consultant is ultimately responsible for the timely and accurate submission of documents.</w:t>
            </w:r>
          </w:p>
        </w:tc>
      </w:tr>
    </w:tbl>
    <w:p w14:paraId="1FC13302" w14:textId="77777777" w:rsidR="004D56CC" w:rsidRPr="004D56CC" w:rsidRDefault="004D56CC" w:rsidP="004D56CC">
      <w:pPr>
        <w:pStyle w:val="NoSpacing"/>
        <w:rPr>
          <w:rFonts w:ascii="Montserrat" w:hAnsi="Montserrat"/>
          <w:b/>
          <w:color w:val="00B0F0"/>
          <w:sz w:val="22"/>
          <w:szCs w:val="22"/>
        </w:rPr>
      </w:pPr>
    </w:p>
    <w:sectPr w:rsidR="004D56CC" w:rsidRPr="004D56CC" w:rsidSect="00E32236">
      <w:headerReference w:type="even" r:id="rId9"/>
      <w:headerReference w:type="default" r:id="rId10"/>
      <w:footerReference w:type="even" r:id="rId11"/>
      <w:footerReference w:type="default" r:id="rId12"/>
      <w:headerReference w:type="first" r:id="rId13"/>
      <w:footerReference w:type="first" r:id="rId14"/>
      <w:pgSz w:w="11909" w:h="16834" w:code="9"/>
      <w:pgMar w:top="1080" w:right="1080" w:bottom="1080" w:left="1440" w:header="562" w:footer="79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F2C2C" w14:textId="77777777" w:rsidR="00767FE6" w:rsidRDefault="00767FE6" w:rsidP="00E32236">
      <w:pPr>
        <w:spacing w:after="0" w:line="240" w:lineRule="auto"/>
      </w:pPr>
      <w:r>
        <w:separator/>
      </w:r>
    </w:p>
  </w:endnote>
  <w:endnote w:type="continuationSeparator" w:id="0">
    <w:p w14:paraId="5C8270D7" w14:textId="77777777" w:rsidR="00767FE6" w:rsidRDefault="00767FE6" w:rsidP="00E3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DCE85" w14:textId="77777777" w:rsidR="00361977" w:rsidRDefault="00361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C59B" w14:textId="77777777" w:rsidR="00B6626E" w:rsidRPr="00FC4345" w:rsidRDefault="00B6626E" w:rsidP="008E53B0">
    <w:pPr>
      <w:jc w:val="center"/>
      <w:rPr>
        <w:rFonts w:ascii="Montserrat" w:hAnsi="Montserrat"/>
        <w:bCs/>
        <w:color w:val="00B0F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BBA70" w14:textId="296DB251" w:rsidR="00B6626E" w:rsidRPr="00924EF4" w:rsidRDefault="00C61418" w:rsidP="00E32236">
    <w:pPr>
      <w:spacing w:after="0" w:line="240" w:lineRule="auto"/>
      <w:rPr>
        <w:b/>
        <w:sz w:val="28"/>
        <w:szCs w:val="28"/>
      </w:rPr>
    </w:pPr>
    <w:r w:rsidRPr="00924EF4">
      <w:rPr>
        <w:b/>
      </w:rPr>
      <w:t>___________________________________________________________________</w:t>
    </w:r>
    <w:r>
      <w:rPr>
        <w:b/>
      </w:rPr>
      <w:t>__________________</w:t>
    </w:r>
  </w:p>
  <w:p w14:paraId="712C3187" w14:textId="77777777" w:rsidR="00B6626E" w:rsidRPr="00FC4345" w:rsidRDefault="00C61418" w:rsidP="00E32236">
    <w:pPr>
      <w:spacing w:after="0" w:line="240" w:lineRule="auto"/>
      <w:jc w:val="center"/>
      <w:rPr>
        <w:rFonts w:ascii="Montserrat" w:hAnsi="Montserrat"/>
        <w:b/>
        <w:sz w:val="16"/>
        <w:szCs w:val="16"/>
      </w:rPr>
    </w:pPr>
    <w:r w:rsidRPr="00FC4345">
      <w:rPr>
        <w:rFonts w:ascii="Montserrat" w:hAnsi="Montserrat"/>
        <w:b/>
        <w:sz w:val="16"/>
        <w:szCs w:val="16"/>
      </w:rPr>
      <w:t>Board of Directors:</w:t>
    </w:r>
  </w:p>
  <w:p w14:paraId="4774F5E3" w14:textId="77777777" w:rsidR="00B6626E" w:rsidRPr="005C645C" w:rsidRDefault="00C61418" w:rsidP="00E32236">
    <w:pPr>
      <w:spacing w:after="0" w:line="240" w:lineRule="auto"/>
      <w:jc w:val="center"/>
      <w:rPr>
        <w:rFonts w:ascii="Montserrat" w:hAnsi="Montserrat"/>
        <w:b/>
        <w:color w:val="41A5D7"/>
        <w:sz w:val="16"/>
        <w:szCs w:val="16"/>
      </w:rPr>
    </w:pPr>
    <w:r w:rsidRPr="005C645C">
      <w:rPr>
        <w:rFonts w:ascii="Montserrat" w:hAnsi="Montserrat"/>
        <w:b/>
        <w:color w:val="41A5D7"/>
        <w:sz w:val="16"/>
        <w:szCs w:val="16"/>
      </w:rPr>
      <w:t>Hon. Chief Justice (</w:t>
    </w:r>
    <w:proofErr w:type="spellStart"/>
    <w:r w:rsidRPr="005C645C">
      <w:rPr>
        <w:rFonts w:ascii="Montserrat" w:hAnsi="Montserrat"/>
        <w:b/>
        <w:color w:val="41A5D7"/>
        <w:sz w:val="16"/>
        <w:szCs w:val="16"/>
      </w:rPr>
      <w:t>Ret’d</w:t>
    </w:r>
    <w:proofErr w:type="spellEnd"/>
    <w:r w:rsidRPr="005C645C">
      <w:rPr>
        <w:rFonts w:ascii="Montserrat" w:hAnsi="Montserrat"/>
        <w:b/>
        <w:color w:val="41A5D7"/>
        <w:sz w:val="16"/>
        <w:szCs w:val="16"/>
      </w:rPr>
      <w:t xml:space="preserve">) Barnabas A. </w:t>
    </w:r>
    <w:proofErr w:type="spellStart"/>
    <w:r w:rsidRPr="005C645C">
      <w:rPr>
        <w:rFonts w:ascii="Montserrat" w:hAnsi="Montserrat"/>
        <w:b/>
        <w:color w:val="41A5D7"/>
        <w:sz w:val="16"/>
        <w:szCs w:val="16"/>
      </w:rPr>
      <w:t>Samatta</w:t>
    </w:r>
    <w:proofErr w:type="spellEnd"/>
    <w:r w:rsidRPr="005C645C">
      <w:rPr>
        <w:rFonts w:ascii="Montserrat" w:hAnsi="Montserrat"/>
        <w:b/>
        <w:color w:val="41A5D7"/>
        <w:sz w:val="16"/>
        <w:szCs w:val="16"/>
      </w:rPr>
      <w:t xml:space="preserve"> - Chairperson, Ms. Josephine A. Zimba- Vice Chairperson, Ms. </w:t>
    </w:r>
    <w:proofErr w:type="spellStart"/>
    <w:r w:rsidRPr="005C645C">
      <w:rPr>
        <w:rFonts w:ascii="Montserrat" w:hAnsi="Montserrat"/>
        <w:b/>
        <w:color w:val="41A5D7"/>
        <w:sz w:val="16"/>
        <w:szCs w:val="16"/>
      </w:rPr>
      <w:t>Anabahati</w:t>
    </w:r>
    <w:proofErr w:type="spellEnd"/>
    <w:r w:rsidRPr="005C645C">
      <w:rPr>
        <w:rFonts w:ascii="Montserrat" w:hAnsi="Montserrat"/>
        <w:b/>
        <w:color w:val="41A5D7"/>
        <w:sz w:val="16"/>
        <w:szCs w:val="16"/>
      </w:rPr>
      <w:t xml:space="preserve"> </w:t>
    </w:r>
    <w:proofErr w:type="spellStart"/>
    <w:r w:rsidRPr="005C645C">
      <w:rPr>
        <w:rFonts w:ascii="Montserrat" w:hAnsi="Montserrat"/>
        <w:b/>
        <w:color w:val="41A5D7"/>
        <w:sz w:val="16"/>
        <w:szCs w:val="16"/>
      </w:rPr>
      <w:t>Mlay</w:t>
    </w:r>
    <w:proofErr w:type="spellEnd"/>
    <w:r w:rsidRPr="005C645C">
      <w:rPr>
        <w:rFonts w:ascii="Montserrat" w:hAnsi="Montserrat"/>
        <w:b/>
        <w:color w:val="41A5D7"/>
        <w:sz w:val="16"/>
        <w:szCs w:val="16"/>
      </w:rPr>
      <w:t xml:space="preserve">- Member, Ms. Hellen </w:t>
    </w:r>
    <w:proofErr w:type="spellStart"/>
    <w:r w:rsidRPr="005C645C">
      <w:rPr>
        <w:rFonts w:ascii="Montserrat" w:hAnsi="Montserrat"/>
        <w:b/>
        <w:color w:val="41A5D7"/>
        <w:sz w:val="16"/>
        <w:szCs w:val="16"/>
      </w:rPr>
      <w:t>Kilontsi</w:t>
    </w:r>
    <w:proofErr w:type="spellEnd"/>
    <w:r w:rsidRPr="005C645C">
      <w:rPr>
        <w:rFonts w:ascii="Montserrat" w:hAnsi="Montserrat"/>
        <w:b/>
        <w:color w:val="41A5D7"/>
        <w:sz w:val="16"/>
        <w:szCs w:val="16"/>
      </w:rPr>
      <w:t xml:space="preserve"> – Member, Dr. Ringo </w:t>
    </w:r>
    <w:proofErr w:type="spellStart"/>
    <w:r w:rsidRPr="005C645C">
      <w:rPr>
        <w:rFonts w:ascii="Montserrat" w:hAnsi="Montserrat"/>
        <w:b/>
        <w:color w:val="41A5D7"/>
        <w:sz w:val="16"/>
        <w:szCs w:val="16"/>
      </w:rPr>
      <w:t>Tenga</w:t>
    </w:r>
    <w:proofErr w:type="spellEnd"/>
    <w:r w:rsidRPr="005C645C">
      <w:rPr>
        <w:rFonts w:ascii="Montserrat" w:hAnsi="Montserrat"/>
        <w:b/>
        <w:color w:val="41A5D7"/>
        <w:sz w:val="16"/>
        <w:szCs w:val="16"/>
      </w:rPr>
      <w:t xml:space="preserve"> – Member, Dr. Anna </w:t>
    </w:r>
    <w:proofErr w:type="spellStart"/>
    <w:r w:rsidRPr="005C645C">
      <w:rPr>
        <w:rFonts w:ascii="Montserrat" w:hAnsi="Montserrat"/>
        <w:b/>
        <w:color w:val="41A5D7"/>
        <w:sz w:val="16"/>
        <w:szCs w:val="16"/>
      </w:rPr>
      <w:t>Henga</w:t>
    </w:r>
    <w:proofErr w:type="spellEnd"/>
    <w:r w:rsidRPr="005C645C">
      <w:rPr>
        <w:rFonts w:ascii="Montserrat" w:hAnsi="Montserrat"/>
        <w:b/>
        <w:color w:val="41A5D7"/>
        <w:sz w:val="16"/>
        <w:szCs w:val="16"/>
      </w:rPr>
      <w:t xml:space="preserve"> (Adv.) Secretary, Dr. Ally </w:t>
    </w:r>
    <w:proofErr w:type="spellStart"/>
    <w:r w:rsidRPr="005C645C">
      <w:rPr>
        <w:rFonts w:ascii="Montserrat" w:hAnsi="Montserrat"/>
        <w:b/>
        <w:color w:val="41A5D7"/>
        <w:sz w:val="16"/>
        <w:szCs w:val="16"/>
      </w:rPr>
      <w:t>Laay</w:t>
    </w:r>
    <w:proofErr w:type="spellEnd"/>
    <w:r w:rsidRPr="005C645C">
      <w:rPr>
        <w:rFonts w:ascii="Montserrat" w:hAnsi="Montserrat"/>
        <w:b/>
        <w:color w:val="41A5D7"/>
        <w:sz w:val="16"/>
        <w:szCs w:val="16"/>
      </w:rPr>
      <w:t xml:space="preserve"> - Member, Dr. Abdullah H. Mohammed - Member, Ms. </w:t>
    </w:r>
    <w:proofErr w:type="spellStart"/>
    <w:r w:rsidRPr="005C645C">
      <w:rPr>
        <w:rFonts w:ascii="Montserrat" w:hAnsi="Montserrat"/>
        <w:b/>
        <w:color w:val="41A5D7"/>
        <w:sz w:val="16"/>
        <w:szCs w:val="16"/>
      </w:rPr>
      <w:t>Lutgard</w:t>
    </w:r>
    <w:proofErr w:type="spellEnd"/>
    <w:r w:rsidRPr="005C645C">
      <w:rPr>
        <w:rFonts w:ascii="Montserrat" w:hAnsi="Montserrat"/>
        <w:b/>
        <w:color w:val="41A5D7"/>
        <w:sz w:val="16"/>
        <w:szCs w:val="16"/>
      </w:rPr>
      <w:t xml:space="preserve"> </w:t>
    </w:r>
    <w:proofErr w:type="spellStart"/>
    <w:r w:rsidRPr="005C645C">
      <w:rPr>
        <w:rFonts w:ascii="Montserrat" w:hAnsi="Montserrat"/>
        <w:b/>
        <w:color w:val="41A5D7"/>
        <w:sz w:val="16"/>
        <w:szCs w:val="16"/>
      </w:rPr>
      <w:t>Kokulinda</w:t>
    </w:r>
    <w:proofErr w:type="spellEnd"/>
    <w:r w:rsidRPr="005C645C">
      <w:rPr>
        <w:rFonts w:ascii="Montserrat" w:hAnsi="Montserrat"/>
        <w:b/>
        <w:color w:val="41A5D7"/>
        <w:sz w:val="16"/>
        <w:szCs w:val="16"/>
      </w:rPr>
      <w:t xml:space="preserve"> </w:t>
    </w:r>
    <w:proofErr w:type="spellStart"/>
    <w:r w:rsidRPr="005C645C">
      <w:rPr>
        <w:rFonts w:ascii="Montserrat" w:hAnsi="Montserrat"/>
        <w:b/>
        <w:color w:val="41A5D7"/>
        <w:sz w:val="16"/>
        <w:szCs w:val="16"/>
      </w:rPr>
      <w:t>Kagaruki</w:t>
    </w:r>
    <w:proofErr w:type="spellEnd"/>
    <w:r w:rsidRPr="005C645C">
      <w:rPr>
        <w:rFonts w:ascii="Montserrat" w:hAnsi="Montserrat"/>
        <w:b/>
        <w:color w:val="41A5D7"/>
        <w:sz w:val="16"/>
        <w:szCs w:val="16"/>
      </w:rPr>
      <w:t xml:space="preserve"> - Member</w:t>
    </w:r>
  </w:p>
  <w:p w14:paraId="6D09EA64" w14:textId="77777777" w:rsidR="00B6626E" w:rsidRDefault="00B6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21819" w14:textId="77777777" w:rsidR="00767FE6" w:rsidRDefault="00767FE6" w:rsidP="00E32236">
      <w:pPr>
        <w:spacing w:after="0" w:line="240" w:lineRule="auto"/>
      </w:pPr>
      <w:r>
        <w:separator/>
      </w:r>
    </w:p>
  </w:footnote>
  <w:footnote w:type="continuationSeparator" w:id="0">
    <w:p w14:paraId="7B7D8B3B" w14:textId="77777777" w:rsidR="00767FE6" w:rsidRDefault="00767FE6" w:rsidP="00E32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1846" w14:textId="77777777" w:rsidR="00B6626E" w:rsidRDefault="00C614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5C0814" w14:textId="77777777" w:rsidR="00B6626E" w:rsidRDefault="00B66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C58B" w14:textId="77777777" w:rsidR="00B6626E" w:rsidRPr="00781038" w:rsidRDefault="00B6626E">
    <w:pPr>
      <w:pStyle w:val="Header"/>
      <w:jc w:val="center"/>
      <w:rPr>
        <w:rFonts w:ascii="Montserrat" w:hAnsi="Montserra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98728" w14:textId="25846A35" w:rsidR="00B6626E" w:rsidRPr="00AA1520" w:rsidRDefault="00211FB2" w:rsidP="00E32236">
    <w:pPr>
      <w:spacing w:after="0"/>
      <w:jc w:val="center"/>
      <w:rPr>
        <w:rFonts w:ascii="Montserrat" w:hAnsi="Montserrat"/>
        <w:b/>
        <w:sz w:val="36"/>
        <w:szCs w:val="36"/>
      </w:rPr>
    </w:pPr>
    <w:r w:rsidRPr="00211FB2">
      <w:rPr>
        <w:rFonts w:ascii="Montserrat" w:hAnsi="Montserrat"/>
        <w:b/>
        <w:noProof/>
        <w:sz w:val="36"/>
        <w:szCs w:val="36"/>
      </w:rPr>
      <mc:AlternateContent>
        <mc:Choice Requires="wps">
          <w:drawing>
            <wp:anchor distT="45720" distB="45720" distL="114300" distR="114300" simplePos="0" relativeHeight="251659264" behindDoc="0" locked="0" layoutInCell="1" allowOverlap="1" wp14:anchorId="63EB2873" wp14:editId="19F850E2">
              <wp:simplePos x="0" y="0"/>
              <wp:positionH relativeFrom="column">
                <wp:posOffset>-712470</wp:posOffset>
              </wp:positionH>
              <wp:positionV relativeFrom="paragraph">
                <wp:posOffset>-208280</wp:posOffset>
              </wp:positionV>
              <wp:extent cx="1264920" cy="9791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979170"/>
                      </a:xfrm>
                      <a:prstGeom prst="rect">
                        <a:avLst/>
                      </a:prstGeom>
                      <a:solidFill>
                        <a:srgbClr val="FFFFFF"/>
                      </a:solidFill>
                      <a:ln w="9525">
                        <a:noFill/>
                        <a:miter lim="800000"/>
                        <a:headEnd/>
                        <a:tailEnd/>
                      </a:ln>
                    </wps:spPr>
                    <wps:txbx>
                      <w:txbxContent>
                        <w:p w14:paraId="05E968EB" w14:textId="24F3DC6F" w:rsidR="00211FB2" w:rsidRDefault="005C645C">
                          <w:r>
                            <w:rPr>
                              <w:noProof/>
                            </w:rPr>
                            <w:drawing>
                              <wp:inline distT="0" distB="0" distL="0" distR="0" wp14:anchorId="3A5C64B8" wp14:editId="4B4F9758">
                                <wp:extent cx="1043940" cy="1043940"/>
                                <wp:effectExtent l="0" t="0" r="3810" b="0"/>
                                <wp:docPr id="569070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7085" name="Picture 56907085"/>
                                        <pic:cNvPicPr/>
                                      </pic:nvPicPr>
                                      <pic:blipFill>
                                        <a:blip r:embed="rId1">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B2873" id="_x0000_t202" coordsize="21600,21600" o:spt="202" path="m,l,21600r21600,l21600,xe">
              <v:stroke joinstyle="miter"/>
              <v:path gradientshapeok="t" o:connecttype="rect"/>
            </v:shapetype>
            <v:shape id="Text Box 2" o:spid="_x0000_s1026" type="#_x0000_t202" style="position:absolute;left:0;text-align:left;margin-left:-56.1pt;margin-top:-16.4pt;width:99.6pt;height:7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" stroked="f">
              <v:textbox>
                <w:txbxContent>
                  <w:p w14:paraId="05E968EB" w14:textId="24F3DC6F" w:rsidR="00211FB2" w:rsidRDefault="005C645C">
                    <w:r>
                      <w:rPr>
                        <w:noProof/>
                      </w:rPr>
                      <w:drawing>
                        <wp:inline distT="0" distB="0" distL="0" distR="0" wp14:anchorId="3A5C64B8" wp14:editId="4B4F9758">
                          <wp:extent cx="1043940" cy="1043940"/>
                          <wp:effectExtent l="0" t="0" r="3810" b="0"/>
                          <wp:docPr id="569070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7085" name="Picture 56907085"/>
                                  <pic:cNvPicPr/>
                                </pic:nvPicPr>
                                <pic:blipFill>
                                  <a:blip r:embed="rId2">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inline>
                      </w:drawing>
                    </w:r>
                  </w:p>
                </w:txbxContent>
              </v:textbox>
              <w10:wrap type="square"/>
            </v:shape>
          </w:pict>
        </mc:Fallback>
      </mc:AlternateContent>
    </w:r>
    <w:r w:rsidR="00E32236" w:rsidRPr="00AA1520">
      <w:rPr>
        <w:rFonts w:ascii="Montserrat" w:hAnsi="Montserrat"/>
        <w:b/>
        <w:sz w:val="36"/>
        <w:szCs w:val="36"/>
      </w:rPr>
      <w:t>LEGAL AND HUMAN RIGHTS CENTRE</w:t>
    </w:r>
  </w:p>
  <w:p w14:paraId="45D2E086" w14:textId="77777777" w:rsidR="00B6626E" w:rsidRPr="00E32236" w:rsidRDefault="00C61418" w:rsidP="00E32236">
    <w:pPr>
      <w:pBdr>
        <w:top w:val="thickThinSmallGap" w:sz="24" w:space="2" w:color="auto"/>
      </w:pBdr>
      <w:spacing w:after="0"/>
      <w:ind w:left="720"/>
      <w:jc w:val="center"/>
      <w:rPr>
        <w:rFonts w:ascii="Montserrat" w:hAnsi="Montserrat"/>
        <w:sz w:val="18"/>
        <w:szCs w:val="12"/>
      </w:rPr>
    </w:pPr>
    <w:r w:rsidRPr="00E32236">
      <w:rPr>
        <w:rFonts w:ascii="Montserrat" w:hAnsi="Montserrat"/>
        <w:sz w:val="18"/>
        <w:szCs w:val="12"/>
      </w:rPr>
      <w:t xml:space="preserve">Justice </w:t>
    </w:r>
    <w:proofErr w:type="spellStart"/>
    <w:r w:rsidRPr="00E32236">
      <w:rPr>
        <w:rFonts w:ascii="Montserrat" w:hAnsi="Montserrat"/>
        <w:sz w:val="18"/>
        <w:szCs w:val="12"/>
      </w:rPr>
      <w:t>Lugakingira</w:t>
    </w:r>
    <w:proofErr w:type="spellEnd"/>
    <w:r w:rsidRPr="00E32236">
      <w:rPr>
        <w:rFonts w:ascii="Montserrat" w:hAnsi="Montserrat"/>
        <w:sz w:val="18"/>
        <w:szCs w:val="12"/>
      </w:rPr>
      <w:t xml:space="preserve"> House, </w:t>
    </w:r>
    <w:proofErr w:type="spellStart"/>
    <w:r w:rsidRPr="00E32236">
      <w:rPr>
        <w:rFonts w:ascii="Montserrat" w:hAnsi="Montserrat"/>
        <w:sz w:val="18"/>
        <w:szCs w:val="12"/>
      </w:rPr>
      <w:t>Kijitonyama</w:t>
    </w:r>
    <w:proofErr w:type="spellEnd"/>
    <w:r w:rsidRPr="00E32236">
      <w:rPr>
        <w:rFonts w:ascii="Montserrat" w:hAnsi="Montserrat"/>
        <w:sz w:val="18"/>
        <w:szCs w:val="12"/>
      </w:rPr>
      <w:t xml:space="preserve">, P. O. Box 75254, Dar </w:t>
    </w:r>
    <w:proofErr w:type="spellStart"/>
    <w:r w:rsidRPr="00E32236">
      <w:rPr>
        <w:rFonts w:ascii="Montserrat" w:hAnsi="Montserrat"/>
        <w:sz w:val="18"/>
        <w:szCs w:val="12"/>
      </w:rPr>
      <w:t>es</w:t>
    </w:r>
    <w:proofErr w:type="spellEnd"/>
    <w:r w:rsidRPr="00E32236">
      <w:rPr>
        <w:rFonts w:ascii="Montserrat" w:hAnsi="Montserrat"/>
        <w:sz w:val="18"/>
        <w:szCs w:val="12"/>
      </w:rPr>
      <w:t xml:space="preserve"> Salaam, Tanzania</w:t>
    </w:r>
  </w:p>
  <w:p w14:paraId="45FC4A19" w14:textId="77777777" w:rsidR="00B6626E" w:rsidRPr="00E32236" w:rsidRDefault="00C61418" w:rsidP="00E32236">
    <w:pPr>
      <w:pBdr>
        <w:top w:val="thickThinSmallGap" w:sz="24" w:space="2" w:color="auto"/>
      </w:pBdr>
      <w:spacing w:after="0"/>
      <w:ind w:left="720"/>
      <w:jc w:val="center"/>
      <w:rPr>
        <w:rFonts w:ascii="Montserrat" w:hAnsi="Montserrat"/>
        <w:sz w:val="18"/>
        <w:szCs w:val="12"/>
      </w:rPr>
    </w:pPr>
    <w:r w:rsidRPr="00E32236">
      <w:rPr>
        <w:rFonts w:ascii="Montserrat" w:hAnsi="Montserrat"/>
        <w:sz w:val="18"/>
        <w:szCs w:val="12"/>
      </w:rPr>
      <w:t xml:space="preserve">Telephone: 2773048, 2773038, Fax: 2773037, E-mail: </w:t>
    </w:r>
    <w:r w:rsidRPr="00211FB2">
      <w:rPr>
        <w:rFonts w:ascii="Montserrat" w:hAnsi="Montserrat"/>
        <w:color w:val="41A5D7"/>
        <w:sz w:val="18"/>
        <w:szCs w:val="12"/>
      </w:rPr>
      <w:t xml:space="preserve"> </w:t>
    </w:r>
    <w:hyperlink r:id="rId3" w:history="1">
      <w:r w:rsidRPr="00211FB2">
        <w:rPr>
          <w:rFonts w:ascii="Montserrat" w:hAnsi="Montserrat"/>
          <w:color w:val="41A5D7"/>
          <w:sz w:val="18"/>
          <w:szCs w:val="12"/>
          <w:u w:val="single"/>
        </w:rPr>
        <w:t>lhrc@humanrights.or.tz</w:t>
      </w:r>
    </w:hyperlink>
  </w:p>
  <w:p w14:paraId="027B3063" w14:textId="254C8AF0" w:rsidR="00B6626E" w:rsidRDefault="00C61418" w:rsidP="00E32236">
    <w:pPr>
      <w:pBdr>
        <w:top w:val="thickThinSmallGap" w:sz="24" w:space="2" w:color="auto"/>
      </w:pBdr>
      <w:spacing w:after="0"/>
      <w:ind w:left="720"/>
      <w:jc w:val="center"/>
    </w:pPr>
    <w:r w:rsidRPr="00E32236">
      <w:rPr>
        <w:rFonts w:ascii="Montserrat" w:hAnsi="Montserrat"/>
        <w:sz w:val="18"/>
        <w:szCs w:val="12"/>
      </w:rPr>
      <w:t xml:space="preserve">Website </w:t>
    </w:r>
    <w:hyperlink r:id="rId4" w:history="1">
      <w:r w:rsidRPr="00211FB2">
        <w:rPr>
          <w:rFonts w:ascii="Montserrat" w:hAnsi="Montserrat"/>
          <w:color w:val="41A5D7"/>
          <w:sz w:val="18"/>
          <w:szCs w:val="12"/>
          <w:u w:val="single"/>
        </w:rPr>
        <w:t>www.humanrights.or.tz</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40747"/>
    <w:multiLevelType w:val="hybridMultilevel"/>
    <w:tmpl w:val="6002BAF0"/>
    <w:lvl w:ilvl="0" w:tplc="4CACC4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186346"/>
    <w:multiLevelType w:val="hybridMultilevel"/>
    <w:tmpl w:val="F9BAD62C"/>
    <w:lvl w:ilvl="0" w:tplc="D80018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32711"/>
    <w:multiLevelType w:val="hybridMultilevel"/>
    <w:tmpl w:val="4EC40BFA"/>
    <w:lvl w:ilvl="0" w:tplc="3258AE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E7193"/>
    <w:multiLevelType w:val="hybridMultilevel"/>
    <w:tmpl w:val="0DF4C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2216A"/>
    <w:multiLevelType w:val="hybridMultilevel"/>
    <w:tmpl w:val="2C0C3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36"/>
    <w:rsid w:val="000765F1"/>
    <w:rsid w:val="00123A1C"/>
    <w:rsid w:val="001C6AA4"/>
    <w:rsid w:val="00211FB2"/>
    <w:rsid w:val="00263530"/>
    <w:rsid w:val="00281891"/>
    <w:rsid w:val="00361977"/>
    <w:rsid w:val="00380D83"/>
    <w:rsid w:val="00384899"/>
    <w:rsid w:val="003C5E42"/>
    <w:rsid w:val="003F01CE"/>
    <w:rsid w:val="00402FE8"/>
    <w:rsid w:val="00456586"/>
    <w:rsid w:val="004668B2"/>
    <w:rsid w:val="004D56CC"/>
    <w:rsid w:val="005C645C"/>
    <w:rsid w:val="005D6169"/>
    <w:rsid w:val="00767FE6"/>
    <w:rsid w:val="009A5251"/>
    <w:rsid w:val="00B21AE2"/>
    <w:rsid w:val="00B6626E"/>
    <w:rsid w:val="00BD37FB"/>
    <w:rsid w:val="00BD4041"/>
    <w:rsid w:val="00C61418"/>
    <w:rsid w:val="00C9372E"/>
    <w:rsid w:val="00CF7D1B"/>
    <w:rsid w:val="00D1458A"/>
    <w:rsid w:val="00DC438C"/>
    <w:rsid w:val="00E32236"/>
    <w:rsid w:val="00E83C98"/>
    <w:rsid w:val="00F153F0"/>
    <w:rsid w:val="00F66B5D"/>
    <w:rsid w:val="00FC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67832"/>
  <w15:chartTrackingRefBased/>
  <w15:docId w15:val="{79FDC033-8165-4F45-BBDA-66439D23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2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236"/>
    <w:rPr>
      <w:rFonts w:eastAsiaTheme="majorEastAsia" w:cstheme="majorBidi"/>
      <w:color w:val="272727" w:themeColor="text1" w:themeTint="D8"/>
    </w:rPr>
  </w:style>
  <w:style w:type="paragraph" w:styleId="Title">
    <w:name w:val="Title"/>
    <w:basedOn w:val="Normal"/>
    <w:next w:val="Normal"/>
    <w:link w:val="TitleChar"/>
    <w:uiPriority w:val="10"/>
    <w:qFormat/>
    <w:rsid w:val="00E32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236"/>
    <w:pPr>
      <w:spacing w:before="160"/>
      <w:jc w:val="center"/>
    </w:pPr>
    <w:rPr>
      <w:i/>
      <w:iCs/>
      <w:color w:val="404040" w:themeColor="text1" w:themeTint="BF"/>
    </w:rPr>
  </w:style>
  <w:style w:type="character" w:customStyle="1" w:styleId="QuoteChar">
    <w:name w:val="Quote Char"/>
    <w:basedOn w:val="DefaultParagraphFont"/>
    <w:link w:val="Quote"/>
    <w:uiPriority w:val="29"/>
    <w:rsid w:val="00E32236"/>
    <w:rPr>
      <w:i/>
      <w:iCs/>
      <w:color w:val="404040" w:themeColor="text1" w:themeTint="BF"/>
    </w:rPr>
  </w:style>
  <w:style w:type="paragraph" w:styleId="ListParagraph">
    <w:name w:val="List Paragraph"/>
    <w:basedOn w:val="Normal"/>
    <w:uiPriority w:val="34"/>
    <w:qFormat/>
    <w:rsid w:val="00E32236"/>
    <w:pPr>
      <w:ind w:left="720"/>
      <w:contextualSpacing/>
    </w:pPr>
  </w:style>
  <w:style w:type="character" w:styleId="IntenseEmphasis">
    <w:name w:val="Intense Emphasis"/>
    <w:basedOn w:val="DefaultParagraphFont"/>
    <w:uiPriority w:val="21"/>
    <w:qFormat/>
    <w:rsid w:val="00E32236"/>
    <w:rPr>
      <w:i/>
      <w:iCs/>
      <w:color w:val="0F4761" w:themeColor="accent1" w:themeShade="BF"/>
    </w:rPr>
  </w:style>
  <w:style w:type="paragraph" w:styleId="IntenseQuote">
    <w:name w:val="Intense Quote"/>
    <w:basedOn w:val="Normal"/>
    <w:next w:val="Normal"/>
    <w:link w:val="IntenseQuoteChar"/>
    <w:uiPriority w:val="30"/>
    <w:qFormat/>
    <w:rsid w:val="00E3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236"/>
    <w:rPr>
      <w:i/>
      <w:iCs/>
      <w:color w:val="0F4761" w:themeColor="accent1" w:themeShade="BF"/>
    </w:rPr>
  </w:style>
  <w:style w:type="character" w:styleId="IntenseReference">
    <w:name w:val="Intense Reference"/>
    <w:basedOn w:val="DefaultParagraphFont"/>
    <w:uiPriority w:val="32"/>
    <w:qFormat/>
    <w:rsid w:val="00E32236"/>
    <w:rPr>
      <w:b/>
      <w:bCs/>
      <w:smallCaps/>
      <w:color w:val="0F4761" w:themeColor="accent1" w:themeShade="BF"/>
      <w:spacing w:val="5"/>
    </w:rPr>
  </w:style>
  <w:style w:type="paragraph" w:styleId="Header">
    <w:name w:val="header"/>
    <w:basedOn w:val="Normal"/>
    <w:link w:val="HeaderChar"/>
    <w:uiPriority w:val="99"/>
    <w:semiHidden/>
    <w:unhideWhenUsed/>
    <w:rsid w:val="00E322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2236"/>
  </w:style>
  <w:style w:type="character" w:styleId="PageNumber">
    <w:name w:val="page number"/>
    <w:basedOn w:val="DefaultParagraphFont"/>
    <w:rsid w:val="00E32236"/>
  </w:style>
  <w:style w:type="paragraph" w:styleId="Footer">
    <w:name w:val="footer"/>
    <w:basedOn w:val="Normal"/>
    <w:link w:val="FooterChar"/>
    <w:uiPriority w:val="99"/>
    <w:unhideWhenUsed/>
    <w:rsid w:val="00E32236"/>
    <w:pPr>
      <w:tabs>
        <w:tab w:val="center" w:pos="4680"/>
        <w:tab w:val="right" w:pos="9360"/>
      </w:tabs>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erChar">
    <w:name w:val="Footer Char"/>
    <w:basedOn w:val="DefaultParagraphFont"/>
    <w:link w:val="Footer"/>
    <w:uiPriority w:val="99"/>
    <w:rsid w:val="00E32236"/>
    <w:rPr>
      <w:rFonts w:ascii="Times New Roman" w:eastAsia="Times New Roman" w:hAnsi="Times New Roman" w:cs="Times New Roman"/>
      <w:kern w:val="0"/>
      <w:sz w:val="20"/>
      <w:szCs w:val="20"/>
      <w:lang w:val="en-GB"/>
      <w14:ligatures w14:val="none"/>
    </w:rPr>
  </w:style>
  <w:style w:type="character" w:styleId="Hyperlink">
    <w:name w:val="Hyperlink"/>
    <w:rsid w:val="00263530"/>
    <w:rPr>
      <w:color w:val="0000FF"/>
      <w:u w:val="single"/>
    </w:rPr>
  </w:style>
  <w:style w:type="paragraph" w:styleId="NoSpacing">
    <w:name w:val="No Spacing"/>
    <w:uiPriority w:val="1"/>
    <w:qFormat/>
    <w:rsid w:val="00263530"/>
    <w:pPr>
      <w:spacing w:after="0" w:line="240" w:lineRule="auto"/>
    </w:pPr>
  </w:style>
  <w:style w:type="table" w:styleId="TableGrid">
    <w:name w:val="Table Grid"/>
    <w:basedOn w:val="TableNormal"/>
    <w:uiPriority w:val="39"/>
    <w:rsid w:val="004D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rc@humanrights.or.t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umanrights.or.t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mailto:lhrc@humanrights.or.tz" TargetMode="External"/><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hyperlink" Target="http://www.humanrights.or.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Fulgence T. Massawe</dc:creator>
  <cp:keywords/>
  <dc:description/>
  <cp:lastModifiedBy>Lenovo</cp:lastModifiedBy>
  <cp:revision>4</cp:revision>
  <dcterms:created xsi:type="dcterms:W3CDTF">2025-03-12T13:00:00Z</dcterms:created>
  <dcterms:modified xsi:type="dcterms:W3CDTF">2025-03-14T07:17:00Z</dcterms:modified>
</cp:coreProperties>
</file>